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ind w:left="4000"/>
        <w:spacing w:after="0"/>
        <w:rPr>
          <w:sz w:val="20"/>
          <w:szCs w:val="20"/>
          <w:color w:val="auto"/>
        </w:rPr>
      </w:pPr>
      <w:r>
        <w:rPr>
          <w:rFonts w:ascii="Arial" w:cs="Arial" w:eastAsia="Arial" w:hAnsi="Arial"/>
          <w:sz w:val="18"/>
          <w:szCs w:val="18"/>
          <w:color w:val="auto"/>
        </w:rPr>
        <w:t>____________________________________</w:t>
      </w:r>
    </w:p>
    <w:p>
      <w:pPr>
        <w:spacing w:after="0" w:line="8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w:t>
      </w:r>
    </w:p>
    <w:p>
      <w:pPr>
        <w:spacing w:after="0" w:line="34" w:lineRule="exact"/>
        <w:rPr>
          <w:sz w:val="24"/>
          <w:szCs w:val="24"/>
          <w:color w:val="auto"/>
        </w:rPr>
      </w:pPr>
    </w:p>
    <w:p>
      <w:pPr>
        <w:ind w:left="700" w:hanging="674"/>
        <w:spacing w:after="0" w:line="256" w:lineRule="auto"/>
        <w:tabs>
          <w:tab w:leader="none" w:pos="7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700" w:right="340" w:hanging="674"/>
        <w:spacing w:after="0" w:line="256" w:lineRule="auto"/>
        <w:tabs>
          <w:tab w:leader="none" w:pos="7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4" w:lineRule="exact"/>
        <w:rPr>
          <w:sz w:val="24"/>
          <w:szCs w:val="24"/>
          <w:color w:val="auto"/>
        </w:rPr>
      </w:pPr>
    </w:p>
    <w:p>
      <w:pPr>
        <w:ind w:left="360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3790950</wp:posOffset>
            </wp:positionH>
            <wp:positionV relativeFrom="paragraph">
              <wp:posOffset>-7620</wp:posOffset>
            </wp:positionV>
            <wp:extent cx="10661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15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1-812</w:t>
      </w:r>
    </w:p>
    <w:p>
      <w:pPr>
        <w:spacing w:after="0" w:line="27"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w:t>
      </w:r>
    </w:p>
    <w:p>
      <w:pPr>
        <w:spacing w:after="0" w:line="8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RAYTHEON TECHNOLOGIES CORPORATION</w:t>
      </w:r>
    </w:p>
    <w:p>
      <w:pPr>
        <w:spacing w:after="0" w:line="50" w:lineRule="exact"/>
        <w:rPr>
          <w:sz w:val="24"/>
          <w:szCs w:val="24"/>
          <w:color w:val="auto"/>
        </w:rPr>
      </w:pPr>
    </w:p>
    <w:tbl>
      <w:tblPr>
        <w:tblLayout w:type="fixed"/>
        <w:tblInd w:w="1420" w:type="dxa"/>
        <w:tblCellMar>
          <w:top w:w="0" w:type="dxa"/>
          <w:left w:w="0" w:type="dxa"/>
          <w:bottom w:w="0" w:type="dxa"/>
          <w:right w:w="0" w:type="dxa"/>
        </w:tblCellMar>
      </w:tblPr>
      <w:tr>
        <w:trPr>
          <w:trHeight w:val="230"/>
        </w:trPr>
        <w:tc>
          <w:tcPr>
            <w:tcW w:w="5920" w:type="dxa"/>
            <w:vAlign w:val="bottom"/>
            <w:gridSpan w:val="3"/>
          </w:tcPr>
          <w:p>
            <w:pPr>
              <w:jc w:val="right"/>
              <w:ind w:right="30"/>
              <w:spacing w:after="0"/>
              <w:rPr>
                <w:sz w:val="20"/>
                <w:szCs w:val="20"/>
                <w:color w:val="auto"/>
              </w:rPr>
            </w:pPr>
            <w:r>
              <w:rPr>
                <w:rFonts w:ascii="Arial" w:cs="Arial" w:eastAsia="Arial" w:hAnsi="Arial"/>
                <w:sz w:val="18"/>
                <w:szCs w:val="18"/>
                <w:color w:val="auto"/>
              </w:rPr>
              <w:t>____________________________________</w:t>
            </w:r>
          </w:p>
        </w:tc>
        <w:tc>
          <w:tcPr>
            <w:tcW w:w="2320" w:type="dxa"/>
            <w:vAlign w:val="bottom"/>
          </w:tcPr>
          <w:p>
            <w:pPr>
              <w:spacing w:after="0"/>
              <w:rPr>
                <w:sz w:val="20"/>
                <w:szCs w:val="20"/>
                <w:color w:val="auto"/>
              </w:rPr>
            </w:pPr>
          </w:p>
        </w:tc>
      </w:tr>
      <w:tr>
        <w:trPr>
          <w:trHeight w:val="362"/>
        </w:trPr>
        <w:tc>
          <w:tcPr>
            <w:tcW w:w="3320" w:type="dxa"/>
            <w:vAlign w:val="bottom"/>
          </w:tcPr>
          <w:p>
            <w:pPr>
              <w:jc w:val="center"/>
              <w:ind w:right="515"/>
              <w:spacing w:after="0"/>
              <w:rPr>
                <w:sz w:val="20"/>
                <w:szCs w:val="20"/>
                <w:color w:val="auto"/>
              </w:rPr>
            </w:pPr>
            <w:r>
              <w:rPr>
                <w:rFonts w:ascii="Arial" w:cs="Arial" w:eastAsia="Arial" w:hAnsi="Arial"/>
                <w:sz w:val="18"/>
                <w:szCs w:val="18"/>
                <w:b w:val="1"/>
                <w:bCs w:val="1"/>
                <w:color w:val="auto"/>
                <w:w w:val="91"/>
              </w:rPr>
              <w:t>Delaware</w:t>
            </w:r>
          </w:p>
        </w:tc>
        <w:tc>
          <w:tcPr>
            <w:tcW w:w="1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320" w:type="dxa"/>
            <w:vAlign w:val="bottom"/>
          </w:tcPr>
          <w:p>
            <w:pPr>
              <w:jc w:val="right"/>
              <w:ind w:right="596"/>
              <w:spacing w:after="0"/>
              <w:rPr>
                <w:sz w:val="20"/>
                <w:szCs w:val="20"/>
                <w:color w:val="auto"/>
              </w:rPr>
            </w:pPr>
            <w:r>
              <w:rPr>
                <w:rFonts w:ascii="Arial" w:cs="Arial" w:eastAsia="Arial" w:hAnsi="Arial"/>
                <w:sz w:val="18"/>
                <w:szCs w:val="18"/>
                <w:b w:val="1"/>
                <w:bCs w:val="1"/>
                <w:color w:val="auto"/>
              </w:rPr>
              <w:t>06-0570975</w:t>
            </w:r>
          </w:p>
        </w:tc>
      </w:tr>
      <w:tr>
        <w:trPr>
          <w:trHeight w:val="218"/>
        </w:trPr>
        <w:tc>
          <w:tcPr>
            <w:tcW w:w="3320" w:type="dxa"/>
            <w:vAlign w:val="bottom"/>
          </w:tcPr>
          <w:p>
            <w:pPr>
              <w:jc w:val="center"/>
              <w:ind w:right="515"/>
              <w:spacing w:after="0"/>
              <w:rPr>
                <w:sz w:val="20"/>
                <w:szCs w:val="20"/>
                <w:color w:val="auto"/>
              </w:rPr>
            </w:pPr>
            <w:r>
              <w:rPr>
                <w:rFonts w:ascii="Arial" w:cs="Arial" w:eastAsia="Arial" w:hAnsi="Arial"/>
                <w:sz w:val="14"/>
                <w:szCs w:val="14"/>
                <w:b w:val="1"/>
                <w:bCs w:val="1"/>
                <w:color w:val="auto"/>
                <w:w w:val="93"/>
              </w:rPr>
              <w:t>(State or other jurisdiction of incorporation)</w:t>
            </w:r>
          </w:p>
        </w:tc>
        <w:tc>
          <w:tcPr>
            <w:tcW w:w="1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320" w:type="dxa"/>
            <w:vAlign w:val="bottom"/>
          </w:tcPr>
          <w:p>
            <w:pPr>
              <w:jc w:val="center"/>
              <w:ind w:left="36"/>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633"/>
        </w:trPr>
        <w:tc>
          <w:tcPr>
            <w:tcW w:w="3320" w:type="dxa"/>
            <w:vAlign w:val="bottom"/>
          </w:tcPr>
          <w:p>
            <w:pPr>
              <w:ind w:left="1700"/>
              <w:spacing w:after="0"/>
              <w:rPr>
                <w:sz w:val="20"/>
                <w:szCs w:val="20"/>
                <w:color w:val="auto"/>
              </w:rPr>
            </w:pPr>
            <w:r>
              <w:rPr>
                <w:rFonts w:ascii="Arial" w:cs="Arial" w:eastAsia="Arial" w:hAnsi="Arial"/>
                <w:sz w:val="18"/>
                <w:szCs w:val="18"/>
                <w:b w:val="1"/>
                <w:bCs w:val="1"/>
                <w:color w:val="auto"/>
              </w:rPr>
              <w:t>870 Winter Street,</w:t>
            </w:r>
          </w:p>
        </w:tc>
        <w:tc>
          <w:tcPr>
            <w:tcW w:w="1140" w:type="dxa"/>
            <w:vAlign w:val="bottom"/>
          </w:tcPr>
          <w:p>
            <w:pPr>
              <w:ind w:left="220"/>
              <w:spacing w:after="0"/>
              <w:rPr>
                <w:sz w:val="20"/>
                <w:szCs w:val="20"/>
                <w:color w:val="auto"/>
              </w:rPr>
            </w:pPr>
            <w:r>
              <w:rPr>
                <w:rFonts w:ascii="Arial" w:cs="Arial" w:eastAsia="Arial" w:hAnsi="Arial"/>
                <w:sz w:val="18"/>
                <w:szCs w:val="18"/>
                <w:b w:val="1"/>
                <w:bCs w:val="1"/>
                <w:color w:val="auto"/>
              </w:rPr>
              <w:t>Waltham,</w:t>
            </w:r>
          </w:p>
        </w:tc>
        <w:tc>
          <w:tcPr>
            <w:tcW w:w="1460" w:type="dxa"/>
            <w:vAlign w:val="bottom"/>
          </w:tcPr>
          <w:p>
            <w:pPr>
              <w:jc w:val="right"/>
              <w:ind w:right="110"/>
              <w:spacing w:after="0"/>
              <w:rPr>
                <w:sz w:val="20"/>
                <w:szCs w:val="20"/>
                <w:color w:val="auto"/>
              </w:rPr>
            </w:pPr>
            <w:r>
              <w:rPr>
                <w:rFonts w:ascii="Arial" w:cs="Arial" w:eastAsia="Arial" w:hAnsi="Arial"/>
                <w:sz w:val="18"/>
                <w:szCs w:val="18"/>
                <w:b w:val="1"/>
                <w:bCs w:val="1"/>
                <w:color w:val="auto"/>
                <w:w w:val="96"/>
              </w:rPr>
              <w:t>Massachusetts</w:t>
            </w:r>
          </w:p>
        </w:tc>
        <w:tc>
          <w:tcPr>
            <w:tcW w:w="2320" w:type="dxa"/>
            <w:vAlign w:val="bottom"/>
          </w:tcPr>
          <w:p>
            <w:pPr>
              <w:jc w:val="right"/>
              <w:ind w:right="1616"/>
              <w:spacing w:after="0"/>
              <w:rPr>
                <w:sz w:val="20"/>
                <w:szCs w:val="20"/>
                <w:color w:val="auto"/>
              </w:rPr>
            </w:pPr>
            <w:r>
              <w:rPr>
                <w:rFonts w:ascii="Arial" w:cs="Arial" w:eastAsia="Arial" w:hAnsi="Arial"/>
                <w:sz w:val="18"/>
                <w:szCs w:val="18"/>
                <w:b w:val="1"/>
                <w:bCs w:val="1"/>
                <w:color w:val="auto"/>
              </w:rPr>
              <w:t>02451</w:t>
            </w:r>
          </w:p>
        </w:tc>
      </w:tr>
    </w:tbl>
    <w:p>
      <w:pPr>
        <w:spacing w:after="0" w:line="11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59" w:lineRule="exact"/>
        <w:rPr>
          <w:sz w:val="24"/>
          <w:szCs w:val="24"/>
          <w:color w:val="auto"/>
        </w:rPr>
      </w:pPr>
    </w:p>
    <w:p>
      <w:pPr>
        <w:ind w:left="5580" w:hanging="637"/>
        <w:spacing w:after="0"/>
        <w:tabs>
          <w:tab w:leader="none" w:pos="55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522-3000</w:t>
      </w:r>
    </w:p>
    <w:p>
      <w:pPr>
        <w:spacing w:after="0" w:line="140"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4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10 Farm Springs Road, Farmington, Connecticut 06032</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3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680" w:type="dxa"/>
        <w:tblCellMar>
          <w:top w:w="0" w:type="dxa"/>
          <w:left w:w="0" w:type="dxa"/>
          <w:bottom w:w="0" w:type="dxa"/>
          <w:right w:w="0" w:type="dxa"/>
        </w:tblCellMar>
      </w:tblPr>
      <w:tr>
        <w:trPr>
          <w:trHeight w:val="207"/>
        </w:trPr>
        <w:tc>
          <w:tcPr>
            <w:tcW w:w="4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500" w:type="dxa"/>
            <w:vAlign w:val="bottom"/>
          </w:tcPr>
          <w:p>
            <w:pPr>
              <w:spacing w:after="0"/>
              <w:rPr>
                <w:sz w:val="18"/>
                <w:szCs w:val="18"/>
                <w:color w:val="auto"/>
              </w:rPr>
            </w:pPr>
          </w:p>
        </w:tc>
        <w:tc>
          <w:tcPr>
            <w:tcW w:w="2880" w:type="dxa"/>
            <w:vAlign w:val="bottom"/>
            <w:gridSpan w:val="2"/>
          </w:tcPr>
          <w:p>
            <w:pPr>
              <w:jc w:val="center"/>
              <w:ind w:right="1460"/>
              <w:spacing w:after="0"/>
              <w:rPr>
                <w:sz w:val="20"/>
                <w:szCs w:val="20"/>
                <w:color w:val="auto"/>
              </w:rPr>
            </w:pPr>
            <w:r>
              <w:rPr>
                <w:rFonts w:ascii="Arial" w:cs="Arial" w:eastAsia="Arial" w:hAnsi="Arial"/>
                <w:sz w:val="18"/>
                <w:szCs w:val="18"/>
                <w:b w:val="1"/>
                <w:bCs w:val="1"/>
                <w:color w:val="auto"/>
                <w:w w:val="89"/>
              </w:rPr>
              <w:t>Trading Symbol(s)</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4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0"/>
        </w:trPr>
        <w:tc>
          <w:tcPr>
            <w:tcW w:w="334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90"/>
              </w:rPr>
              <w:t>Common Stock ($1 par value)</w:t>
            </w:r>
          </w:p>
        </w:tc>
        <w:tc>
          <w:tcPr>
            <w:tcW w:w="2880" w:type="dxa"/>
            <w:vAlign w:val="bottom"/>
            <w:gridSpan w:val="2"/>
          </w:tcPr>
          <w:p>
            <w:pPr>
              <w:jc w:val="center"/>
              <w:ind w:right="1460"/>
              <w:spacing w:after="0"/>
              <w:rPr>
                <w:sz w:val="20"/>
                <w:szCs w:val="20"/>
                <w:color w:val="auto"/>
              </w:rPr>
            </w:pPr>
            <w:r>
              <w:rPr>
                <w:rFonts w:ascii="Arial" w:cs="Arial" w:eastAsia="Arial" w:hAnsi="Arial"/>
                <w:sz w:val="18"/>
                <w:szCs w:val="18"/>
                <w:b w:val="1"/>
                <w:bCs w:val="1"/>
                <w:color w:val="auto"/>
              </w:rPr>
              <w:t>RTX</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r>
        <w:trPr>
          <w:trHeight w:val="218"/>
        </w:trPr>
        <w:tc>
          <w:tcPr>
            <w:tcW w:w="480" w:type="dxa"/>
            <w:vAlign w:val="bottom"/>
          </w:tcPr>
          <w:p>
            <w:pPr>
              <w:spacing w:after="0"/>
              <w:rPr>
                <w:sz w:val="18"/>
                <w:szCs w:val="18"/>
                <w:color w:val="auto"/>
              </w:rPr>
            </w:pPr>
          </w:p>
        </w:tc>
        <w:tc>
          <w:tcPr>
            <w:tcW w:w="2860" w:type="dxa"/>
            <w:vAlign w:val="bottom"/>
            <w:gridSpan w:val="2"/>
          </w:tcPr>
          <w:p>
            <w:pPr>
              <w:jc w:val="center"/>
              <w:ind w:right="1500"/>
              <w:spacing w:after="0"/>
              <w:rPr>
                <w:sz w:val="20"/>
                <w:szCs w:val="20"/>
                <w:color w:val="auto"/>
              </w:rPr>
            </w:pPr>
            <w:r>
              <w:rPr>
                <w:rFonts w:ascii="Arial" w:cs="Arial" w:eastAsia="Arial" w:hAnsi="Arial"/>
                <w:sz w:val="14"/>
                <w:szCs w:val="14"/>
                <w:b w:val="1"/>
                <w:bCs w:val="1"/>
                <w:color w:val="auto"/>
                <w:w w:val="97"/>
              </w:rPr>
              <w:t>(CUSIP 75513E 101)</w:t>
            </w:r>
          </w:p>
        </w:tc>
        <w:tc>
          <w:tcPr>
            <w:tcW w:w="1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255"/>
        </w:trPr>
        <w:tc>
          <w:tcPr>
            <w:tcW w:w="334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w w:val="90"/>
              </w:rPr>
              <w:t>2.150% Notes due 2030</w:t>
            </w:r>
          </w:p>
        </w:tc>
        <w:tc>
          <w:tcPr>
            <w:tcW w:w="2880" w:type="dxa"/>
            <w:vAlign w:val="bottom"/>
            <w:gridSpan w:val="2"/>
          </w:tcPr>
          <w:p>
            <w:pPr>
              <w:jc w:val="center"/>
              <w:ind w:right="1480"/>
              <w:spacing w:after="0"/>
              <w:rPr>
                <w:sz w:val="20"/>
                <w:szCs w:val="20"/>
                <w:color w:val="auto"/>
              </w:rPr>
            </w:pPr>
            <w:r>
              <w:rPr>
                <w:rFonts w:ascii="Arial" w:cs="Arial" w:eastAsia="Arial" w:hAnsi="Arial"/>
                <w:sz w:val="18"/>
                <w:szCs w:val="18"/>
                <w:b w:val="1"/>
                <w:bCs w:val="1"/>
                <w:color w:val="auto"/>
                <w:w w:val="98"/>
              </w:rPr>
              <w:t>RTX 30</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r>
        <w:trPr>
          <w:trHeight w:val="218"/>
        </w:trPr>
        <w:tc>
          <w:tcPr>
            <w:tcW w:w="480" w:type="dxa"/>
            <w:vAlign w:val="bottom"/>
          </w:tcPr>
          <w:p>
            <w:pPr>
              <w:spacing w:after="0"/>
              <w:rPr>
                <w:sz w:val="18"/>
                <w:szCs w:val="18"/>
                <w:color w:val="auto"/>
              </w:rPr>
            </w:pPr>
          </w:p>
        </w:tc>
        <w:tc>
          <w:tcPr>
            <w:tcW w:w="2860" w:type="dxa"/>
            <w:vAlign w:val="bottom"/>
            <w:gridSpan w:val="2"/>
          </w:tcPr>
          <w:p>
            <w:pPr>
              <w:jc w:val="center"/>
              <w:ind w:right="1500"/>
              <w:spacing w:after="0"/>
              <w:rPr>
                <w:sz w:val="20"/>
                <w:szCs w:val="20"/>
                <w:color w:val="auto"/>
              </w:rPr>
            </w:pPr>
            <w:r>
              <w:rPr>
                <w:rFonts w:ascii="Arial" w:cs="Arial" w:eastAsia="Arial" w:hAnsi="Arial"/>
                <w:sz w:val="14"/>
                <w:szCs w:val="14"/>
                <w:b w:val="1"/>
                <w:bCs w:val="1"/>
                <w:color w:val="auto"/>
                <w:w w:val="96"/>
              </w:rPr>
              <w:t>(CUSIP 75513E AB7)</w:t>
            </w:r>
          </w:p>
        </w:tc>
        <w:tc>
          <w:tcPr>
            <w:tcW w:w="1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255"/>
        </w:trPr>
        <w:tc>
          <w:tcPr>
            <w:tcW w:w="334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w w:val="89"/>
              </w:rPr>
              <w:t>Floating Rate Notes due 2020</w:t>
            </w:r>
          </w:p>
        </w:tc>
        <w:tc>
          <w:tcPr>
            <w:tcW w:w="2880" w:type="dxa"/>
            <w:vAlign w:val="bottom"/>
            <w:gridSpan w:val="2"/>
          </w:tcPr>
          <w:p>
            <w:pPr>
              <w:jc w:val="center"/>
              <w:ind w:right="1480"/>
              <w:spacing w:after="0"/>
              <w:rPr>
                <w:sz w:val="20"/>
                <w:szCs w:val="20"/>
                <w:color w:val="auto"/>
              </w:rPr>
            </w:pPr>
            <w:r>
              <w:rPr>
                <w:rFonts w:ascii="Arial" w:cs="Arial" w:eastAsia="Arial" w:hAnsi="Arial"/>
                <w:sz w:val="18"/>
                <w:szCs w:val="18"/>
                <w:b w:val="1"/>
                <w:bCs w:val="1"/>
                <w:color w:val="auto"/>
                <w:w w:val="97"/>
              </w:rPr>
              <w:t>RTX 20B</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r>
        <w:trPr>
          <w:trHeight w:val="218"/>
        </w:trPr>
        <w:tc>
          <w:tcPr>
            <w:tcW w:w="480" w:type="dxa"/>
            <w:vAlign w:val="bottom"/>
          </w:tcPr>
          <w:p>
            <w:pPr>
              <w:spacing w:after="0"/>
              <w:rPr>
                <w:sz w:val="18"/>
                <w:szCs w:val="18"/>
                <w:color w:val="auto"/>
              </w:rPr>
            </w:pPr>
          </w:p>
        </w:tc>
        <w:tc>
          <w:tcPr>
            <w:tcW w:w="2860" w:type="dxa"/>
            <w:vAlign w:val="bottom"/>
            <w:gridSpan w:val="2"/>
          </w:tcPr>
          <w:p>
            <w:pPr>
              <w:jc w:val="center"/>
              <w:ind w:right="1520"/>
              <w:spacing w:after="0"/>
              <w:rPr>
                <w:sz w:val="20"/>
                <w:szCs w:val="20"/>
                <w:color w:val="auto"/>
              </w:rPr>
            </w:pPr>
            <w:r>
              <w:rPr>
                <w:rFonts w:ascii="Arial" w:cs="Arial" w:eastAsia="Arial" w:hAnsi="Arial"/>
                <w:sz w:val="14"/>
                <w:szCs w:val="14"/>
                <w:b w:val="1"/>
                <w:bCs w:val="1"/>
                <w:color w:val="auto"/>
                <w:w w:val="98"/>
              </w:rPr>
              <w:t>(CUSIP 75513E AA9)</w:t>
            </w:r>
          </w:p>
        </w:tc>
        <w:tc>
          <w:tcPr>
            <w:tcW w:w="1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340" w:type="dxa"/>
            <w:vAlign w:val="bottom"/>
          </w:tcPr>
          <w:p>
            <w:pPr>
              <w:spacing w:after="0"/>
              <w:rPr>
                <w:sz w:val="18"/>
                <w:szCs w:val="18"/>
                <w:color w:val="auto"/>
              </w:rPr>
            </w:pPr>
          </w:p>
        </w:tc>
      </w:tr>
    </w:tbl>
    <w:p>
      <w:pPr>
        <w:spacing w:after="0" w:line="349"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right="2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ectPr>
          <w:pgSz w:w="11900" w:h="16838" w:orient="portrait"/>
          <w:cols w:equalWidth="0" w:num="1">
            <w:col w:w="11200"/>
          </w:cols>
          <w:pgMar w:left="320" w:top="229" w:right="3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39"/>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type w:val="continuous"/>
        </w:sectPr>
      </w:pPr>
    </w:p>
    <w:bookmarkStart w:id="1" w:name="page2"/>
    <w:bookmarkEnd w:id="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firstLine="445"/>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during the preceding 12 months (or for such shorter period that the registrant was required to submit and post such</w:t>
      </w:r>
    </w:p>
    <w:p>
      <w:pPr>
        <w:spacing w:after="0" w:line="1" w:lineRule="exact"/>
        <w:rPr>
          <w:sz w:val="20"/>
          <w:szCs w:val="20"/>
          <w:color w:val="auto"/>
        </w:rPr>
      </w:pPr>
    </w:p>
    <w:p>
      <w:pPr>
        <w:spacing w:after="0" w:line="207" w:lineRule="exact"/>
        <w:tabs>
          <w:tab w:leader="none" w:pos="580" w:val="left"/>
          <w:tab w:leader="none" w:pos="1320" w:val="left"/>
        </w:tabs>
        <w:rPr>
          <w:sz w:val="20"/>
          <w:szCs w:val="20"/>
          <w:color w:val="auto"/>
        </w:rPr>
      </w:pPr>
      <w:r>
        <w:rPr>
          <w:rFonts w:ascii="Arial" w:cs="Arial" w:eastAsia="Arial" w:hAnsi="Arial"/>
          <w:sz w:val="18"/>
          <w:szCs w:val="18"/>
          <w:color w:val="auto"/>
        </w:rPr>
        <w:t>files).</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62" w:lineRule="exact"/>
        <w:rPr>
          <w:sz w:val="20"/>
          <w:szCs w:val="20"/>
          <w:color w:val="auto"/>
        </w:rPr>
      </w:pPr>
    </w:p>
    <w:p>
      <w:pPr>
        <w:ind w:right="100" w:firstLine="44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0"/>
          <w:szCs w:val="20"/>
          <w:color w:val="auto"/>
        </w:rPr>
      </w:pPr>
    </w:p>
    <w:tbl>
      <w:tblPr>
        <w:tblLayout w:type="fixed"/>
        <w:tblInd w:w="1800" w:type="dxa"/>
        <w:tblCellMar>
          <w:top w:w="0" w:type="dxa"/>
          <w:left w:w="0" w:type="dxa"/>
          <w:bottom w:w="0" w:type="dxa"/>
          <w:right w:w="0" w:type="dxa"/>
        </w:tblCellMar>
      </w:tblPr>
      <w:tr>
        <w:trPr>
          <w:trHeight w:val="283"/>
        </w:trPr>
        <w:tc>
          <w:tcPr>
            <w:tcW w:w="25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0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3000" w:type="dxa"/>
            <w:vAlign w:val="bottom"/>
          </w:tcPr>
          <w:p>
            <w:pPr>
              <w:ind w:left="80"/>
              <w:spacing w:after="0"/>
              <w:rPr>
                <w:sz w:val="20"/>
                <w:szCs w:val="20"/>
                <w:color w:val="auto"/>
              </w:rPr>
            </w:pPr>
            <w:r>
              <w:rPr>
                <w:rFonts w:ascii="Arial" w:cs="Arial" w:eastAsia="Arial" w:hAnsi="Arial"/>
                <w:sz w:val="18"/>
                <w:szCs w:val="18"/>
                <w:color w:val="auto"/>
              </w:rPr>
              <w:t>Accelerated Filer</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500" w:type="dxa"/>
            <w:vAlign w:val="bottom"/>
          </w:tcPr>
          <w:p>
            <w:pPr>
              <w:spacing w:after="0"/>
              <w:rPr>
                <w:sz w:val="20"/>
                <w:szCs w:val="20"/>
                <w:color w:val="auto"/>
              </w:rPr>
            </w:pPr>
            <w:r>
              <w:rPr>
                <w:rFonts w:ascii="Arial" w:cs="Arial" w:eastAsia="Arial" w:hAnsi="Arial"/>
                <w:sz w:val="18"/>
                <w:szCs w:val="18"/>
                <w:color w:val="auto"/>
              </w:rPr>
              <w:t>Non-accelerated Filer</w:t>
            </w:r>
          </w:p>
        </w:tc>
        <w:tc>
          <w:tcPr>
            <w:tcW w:w="10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3000" w:type="dxa"/>
            <w:vAlign w:val="bottom"/>
          </w:tcPr>
          <w:p>
            <w:pPr>
              <w:ind w:left="80"/>
              <w:spacing w:after="0"/>
              <w:rPr>
                <w:sz w:val="20"/>
                <w:szCs w:val="20"/>
                <w:color w:val="auto"/>
              </w:rPr>
            </w:pPr>
            <w:r>
              <w:rPr>
                <w:rFonts w:ascii="Arial" w:cs="Arial" w:eastAsia="Arial" w:hAnsi="Arial"/>
                <w:sz w:val="18"/>
                <w:szCs w:val="18"/>
                <w:color w:val="auto"/>
              </w:rPr>
              <w:t>Smaller Reporting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0" w:type="dxa"/>
            <w:vAlign w:val="bottom"/>
          </w:tcPr>
          <w:p>
            <w:pPr>
              <w:ind w:left="80"/>
              <w:spacing w:after="0"/>
              <w:rPr>
                <w:sz w:val="20"/>
                <w:szCs w:val="20"/>
                <w:color w:val="auto"/>
              </w:rPr>
            </w:pPr>
            <w:r>
              <w:rPr>
                <w:rFonts w:ascii="Arial" w:cs="Arial" w:eastAsia="Arial" w:hAnsi="Arial"/>
                <w:sz w:val="18"/>
                <w:szCs w:val="18"/>
                <w:color w:val="auto"/>
              </w:rPr>
              <w:t>Emerging Growth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7" w:lineRule="exact"/>
        <w:rPr>
          <w:sz w:val="20"/>
          <w:szCs w:val="20"/>
          <w:color w:val="auto"/>
        </w:rPr>
      </w:pPr>
    </w:p>
    <w:p>
      <w:pPr>
        <w:ind w:firstLine="40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0"/>
          <w:szCs w:val="20"/>
          <w:color w:val="auto"/>
        </w:rPr>
      </w:pPr>
    </w:p>
    <w:p>
      <w:pPr>
        <w:ind w:left="460"/>
        <w:spacing w:after="0" w:line="207" w:lineRule="exact"/>
        <w:tabs>
          <w:tab w:leader="none" w:pos="8780" w:val="left"/>
          <w:tab w:leader="none" w:pos="95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March 31, 2020 there were 866,160,621 shares of Common Stock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70"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color w:val="auto"/>
        </w:rPr>
        <w:t>On April 3, 2020, United Technologies Corporation ("UTC" or “the Company”) combined its aerospace businesses with Raytheon Company ("Raytheon") in a merger of equals transaction with Raytheon surviving as a wholly owned subsidiary of UTC ("the Raytheon Merger"). Upon the closing of the Raytheon Merger, the Company’s name changed to “Raytheon Technologies Corporation.” Prior to the Raytheon Merger, UTC separated its Carrier and Otis businesses from its aerospace businesses (such separations, "the Separation Transactions").</w:t>
      </w:r>
    </w:p>
    <w:p>
      <w:pPr>
        <w:spacing w:after="0" w:line="208"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financial statements of the Company contained herein are as of and for the period ended March 31, 2020, a date that is prior to the date of the completion of the Separation Transactions and the Raytheon Merger. Therefore, the financial statements and other information contained herein relate, except as otherwise expressly noted herein, to UTC prior to giving effect to the Separation Transactions and the Raytheon Merger, and, accordingly, include the results of the Otis and Carrier businesses but do not include the results of Raytheon. Future filings will reflect the results of the Company after giving effect to the Separation Transactions and the Raytheon Merger, providing for the combined businesses of UTC (excluding the Carrier and Otis businesses) and Raytheon. Historical operations of Otis and Carrier will be presented as discontinued operations in those filings.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RAYTHEON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CONTENTS OF QUARTERLY REPORT ON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March 31, 2020</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6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r>
      <w:tr>
        <w:trPr>
          <w:trHeight w:val="269"/>
        </w:trPr>
        <w:tc>
          <w:tcPr>
            <w:tcW w:w="10580" w:type="dxa"/>
            <w:vAlign w:val="bottom"/>
            <w:gridSpan w:val="11"/>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PART I – FINANCIAL INFORMATION</w:t>
              </w:r>
            </w:hyperlink>
          </w:p>
        </w:tc>
        <w:tc>
          <w:tcPr>
            <w:tcW w:w="64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5</w:t>
              </w:r>
            </w:hyperlink>
          </w:p>
        </w:tc>
      </w:tr>
      <w:tr>
        <w:trPr>
          <w:trHeight w:val="283"/>
        </w:trPr>
        <w:tc>
          <w:tcPr>
            <w:tcW w:w="10580" w:type="dxa"/>
            <w:vAlign w:val="bottom"/>
            <w:gridSpan w:val="11"/>
          </w:tcPr>
          <w:p>
            <w:pPr>
              <w:ind w:left="1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Item 1. Unaudited Financial Statements:</w:t>
              </w:r>
            </w:hyperlink>
          </w:p>
        </w:tc>
        <w:tc>
          <w:tcPr>
            <w:tcW w:w="64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tc>
      </w:tr>
      <w:tr>
        <w:trPr>
          <w:trHeight w:val="283"/>
        </w:trPr>
        <w:tc>
          <w:tcPr>
            <w:tcW w:w="320" w:type="dxa"/>
            <w:vAlign w:val="bottom"/>
          </w:tcPr>
          <w:p>
            <w:pPr>
              <w:spacing w:after="0"/>
              <w:rPr>
                <w:sz w:val="24"/>
                <w:szCs w:val="24"/>
                <w:color w:val="auto"/>
              </w:rPr>
            </w:pPr>
          </w:p>
        </w:tc>
        <w:tc>
          <w:tcPr>
            <w:tcW w:w="10260" w:type="dxa"/>
            <w:vAlign w:val="bottom"/>
            <w:gridSpan w:val="10"/>
          </w:tcPr>
          <w:p>
            <w:pPr>
              <w:ind w:left="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Statement of Operations for the quarters ended March 31, 2020 and 2019</w:t>
              </w:r>
            </w:hyperlink>
          </w:p>
        </w:tc>
        <w:tc>
          <w:tcPr>
            <w:tcW w:w="64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tc>
      </w:tr>
      <w:tr>
        <w:trPr>
          <w:trHeight w:val="243"/>
        </w:trPr>
        <w:tc>
          <w:tcPr>
            <w:tcW w:w="320" w:type="dxa"/>
            <w:vAlign w:val="bottom"/>
          </w:tcPr>
          <w:p>
            <w:pPr>
              <w:spacing w:after="0"/>
              <w:rPr>
                <w:sz w:val="21"/>
                <w:szCs w:val="21"/>
                <w:color w:val="auto"/>
              </w:rPr>
            </w:pPr>
          </w:p>
        </w:tc>
        <w:tc>
          <w:tcPr>
            <w:tcW w:w="10260" w:type="dxa"/>
            <w:vAlign w:val="bottom"/>
            <w:gridSpan w:val="10"/>
          </w:tcPr>
          <w:p>
            <w:pPr>
              <w:ind w:left="20"/>
              <w:spacing w:after="0"/>
              <w:rPr>
                <w:rFonts w:ascii="Arial" w:cs="Arial" w:eastAsia="Arial" w:hAnsi="Arial"/>
                <w:sz w:val="18"/>
                <w:szCs w:val="18"/>
                <w:color w:val="0000FF"/>
              </w:rPr>
            </w:pPr>
            <w:hyperlink w:anchor="page5">
              <w:r>
                <w:rPr>
                  <w:rFonts w:ascii="Arial" w:cs="Arial" w:eastAsia="Arial" w:hAnsi="Arial"/>
                  <w:sz w:val="18"/>
                  <w:szCs w:val="18"/>
                  <w:u w:val="single" w:color="auto"/>
                  <w:color w:val="0000FF"/>
                </w:rPr>
                <w:t>Condensed Consolidated Statement of Comprehensive Income for the quarters</w:t>
              </w:r>
              <w:r>
                <w:rPr>
                  <w:rFonts w:ascii="Arial" w:cs="Arial" w:eastAsia="Arial" w:hAnsi="Arial"/>
                  <w:sz w:val="18"/>
                  <w:szCs w:val="18"/>
                  <w:color w:val="0000FF"/>
                </w:rPr>
                <w:t xml:space="preserve"> ended </w:t>
              </w:r>
            </w:hyperlink>
            <w:r>
              <w:rPr>
                <w:rFonts w:ascii="Arial" w:cs="Arial" w:eastAsia="Arial" w:hAnsi="Arial"/>
                <w:sz w:val="18"/>
                <w:szCs w:val="18"/>
                <w:color w:val="0000FF"/>
              </w:rPr>
              <w:t>March 31</w:t>
            </w:r>
            <w:hyperlink w:anchor="page5">
              <w:r>
                <w:rPr>
                  <w:rFonts w:ascii="Arial" w:cs="Arial" w:eastAsia="Arial" w:hAnsi="Arial"/>
                  <w:sz w:val="18"/>
                  <w:szCs w:val="18"/>
                  <w:color w:val="0000FF"/>
                </w:rPr>
                <w:t xml:space="preserve">, 2020 and </w:t>
              </w:r>
            </w:hyperlink>
            <w:r>
              <w:rPr>
                <w:rFonts w:ascii="Arial" w:cs="Arial" w:eastAsia="Arial" w:hAnsi="Arial"/>
                <w:sz w:val="18"/>
                <w:szCs w:val="18"/>
                <w:color w:val="0000FF"/>
              </w:rPr>
              <w:t>2019</w:t>
            </w:r>
          </w:p>
        </w:tc>
        <w:tc>
          <w:tcPr>
            <w:tcW w:w="64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6</w:t>
              </w:r>
            </w:hyperlink>
          </w:p>
        </w:tc>
      </w:tr>
      <w:tr>
        <w:trPr>
          <w:trHeight w:val="20"/>
        </w:trPr>
        <w:tc>
          <w:tcPr>
            <w:tcW w:w="3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10260" w:type="dxa"/>
            <w:vAlign w:val="bottom"/>
            <w:gridSpan w:val="10"/>
          </w:tcPr>
          <w:p>
            <w:pPr>
              <w:ind w:left="20"/>
              <w:spacing w:after="0"/>
              <w:rPr>
                <w:rFonts w:ascii="Arial" w:cs="Arial" w:eastAsia="Arial" w:hAnsi="Arial"/>
                <w:sz w:val="18"/>
                <w:szCs w:val="18"/>
                <w:color w:val="0000FF"/>
              </w:rPr>
            </w:pPr>
            <w:hyperlink w:anchor="page6">
              <w:r>
                <w:rPr>
                  <w:rFonts w:ascii="Arial" w:cs="Arial" w:eastAsia="Arial" w:hAnsi="Arial"/>
                  <w:sz w:val="18"/>
                  <w:szCs w:val="18"/>
                  <w:color w:val="0000FF"/>
                </w:rPr>
                <w:t xml:space="preserve">Condensed Consolidated Balance Sheet at March 31, </w:t>
              </w:r>
            </w:hyperlink>
            <w:r>
              <w:rPr>
                <w:rFonts w:ascii="Arial" w:cs="Arial" w:eastAsia="Arial" w:hAnsi="Arial"/>
                <w:sz w:val="18"/>
                <w:szCs w:val="18"/>
                <w:u w:val="single" w:color="auto"/>
                <w:color w:val="0000FF"/>
              </w:rPr>
              <w:t>2020</w:t>
            </w:r>
            <w:r>
              <w:rPr>
                <w:rFonts w:ascii="Arial" w:cs="Arial" w:eastAsia="Arial" w:hAnsi="Arial"/>
                <w:sz w:val="18"/>
                <w:szCs w:val="18"/>
                <w:color w:val="0000FF"/>
              </w:rPr>
              <w:t xml:space="preserve"> </w:t>
            </w:r>
            <w:hyperlink w:anchor="page6">
              <w:r>
                <w:rPr>
                  <w:rFonts w:ascii="Arial" w:cs="Arial" w:eastAsia="Arial" w:hAnsi="Arial"/>
                  <w:sz w:val="18"/>
                  <w:szCs w:val="18"/>
                  <w:u w:val="single" w:color="auto"/>
                  <w:color w:val="0000FF"/>
                </w:rPr>
                <w:t xml:space="preserve">and December 31, </w:t>
              </w:r>
            </w:hyperlink>
            <w:r>
              <w:rPr>
                <w:rFonts w:ascii="Arial" w:cs="Arial" w:eastAsia="Arial" w:hAnsi="Arial"/>
                <w:sz w:val="18"/>
                <w:szCs w:val="18"/>
                <w:color w:val="0000FF"/>
              </w:rPr>
              <w:t>2019</w:t>
            </w:r>
          </w:p>
        </w:tc>
        <w:tc>
          <w:tcPr>
            <w:tcW w:w="64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7</w:t>
              </w:r>
            </w:hyperlink>
          </w:p>
        </w:tc>
      </w:tr>
      <w:tr>
        <w:trPr>
          <w:trHeight w:val="20"/>
        </w:trPr>
        <w:tc>
          <w:tcPr>
            <w:tcW w:w="320" w:type="dxa"/>
            <w:vAlign w:val="bottom"/>
          </w:tcPr>
          <w:p>
            <w:pPr>
              <w:spacing w:after="0" w:line="20" w:lineRule="exact"/>
              <w:rPr>
                <w:sz w:val="1"/>
                <w:szCs w:val="1"/>
                <w:color w:val="auto"/>
              </w:rPr>
            </w:pPr>
          </w:p>
        </w:tc>
        <w:tc>
          <w:tcPr>
            <w:tcW w:w="378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04"/>
        </w:trPr>
        <w:tc>
          <w:tcPr>
            <w:tcW w:w="320" w:type="dxa"/>
            <w:vAlign w:val="bottom"/>
          </w:tcPr>
          <w:p>
            <w:pPr>
              <w:spacing w:after="0"/>
              <w:rPr>
                <w:sz w:val="24"/>
                <w:szCs w:val="24"/>
                <w:color w:val="auto"/>
              </w:rPr>
            </w:pPr>
          </w:p>
        </w:tc>
        <w:tc>
          <w:tcPr>
            <w:tcW w:w="10260" w:type="dxa"/>
            <w:vAlign w:val="bottom"/>
            <w:gridSpan w:val="10"/>
          </w:tcPr>
          <w:p>
            <w:pPr>
              <w:ind w:left="2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Condensed Consolidated Statement of Cash Flows for the quarters ended March 31, 2020 and 2019</w:t>
              </w:r>
            </w:hyperlink>
          </w:p>
        </w:tc>
        <w:tc>
          <w:tcPr>
            <w:tcW w:w="640" w:type="dxa"/>
            <w:vAlign w:val="bottom"/>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8</w:t>
              </w:r>
            </w:hyperlink>
          </w:p>
        </w:tc>
      </w:tr>
      <w:tr>
        <w:trPr>
          <w:trHeight w:val="243"/>
        </w:trPr>
        <w:tc>
          <w:tcPr>
            <w:tcW w:w="320" w:type="dxa"/>
            <w:vAlign w:val="bottom"/>
          </w:tcPr>
          <w:p>
            <w:pPr>
              <w:spacing w:after="0"/>
              <w:rPr>
                <w:sz w:val="21"/>
                <w:szCs w:val="21"/>
                <w:color w:val="auto"/>
              </w:rPr>
            </w:pPr>
          </w:p>
        </w:tc>
        <w:tc>
          <w:tcPr>
            <w:tcW w:w="10260" w:type="dxa"/>
            <w:vAlign w:val="bottom"/>
            <w:gridSpan w:val="10"/>
          </w:tcPr>
          <w:p>
            <w:pPr>
              <w:ind w:left="20"/>
              <w:spacing w:after="0"/>
              <w:rPr>
                <w:rFonts w:ascii="Arial" w:cs="Arial" w:eastAsia="Arial" w:hAnsi="Arial"/>
                <w:sz w:val="18"/>
                <w:szCs w:val="18"/>
                <w:color w:val="0000FF"/>
              </w:rPr>
            </w:pPr>
            <w:hyperlink w:anchor="page8">
              <w:r>
                <w:rPr>
                  <w:rFonts w:ascii="Arial" w:cs="Arial" w:eastAsia="Arial" w:hAnsi="Arial"/>
                  <w:sz w:val="18"/>
                  <w:szCs w:val="18"/>
                  <w:u w:val="single" w:color="auto"/>
                  <w:color w:val="0000FF"/>
                </w:rPr>
                <w:t>Condensed Consolidated Statement of Changes in Equity for the quarters</w:t>
              </w:r>
              <w:r>
                <w:rPr>
                  <w:rFonts w:ascii="Arial" w:cs="Arial" w:eastAsia="Arial" w:hAnsi="Arial"/>
                  <w:sz w:val="18"/>
                  <w:szCs w:val="18"/>
                  <w:color w:val="0000FF"/>
                </w:rPr>
                <w:t xml:space="preserve"> ended March </w:t>
              </w:r>
            </w:hyperlink>
            <w:r>
              <w:rPr>
                <w:rFonts w:ascii="Arial" w:cs="Arial" w:eastAsia="Arial" w:hAnsi="Arial"/>
                <w:sz w:val="18"/>
                <w:szCs w:val="18"/>
                <w:color w:val="0000FF"/>
              </w:rPr>
              <w:t>31</w:t>
            </w:r>
            <w:hyperlink w:anchor="page8">
              <w:r>
                <w:rPr>
                  <w:rFonts w:ascii="Arial" w:cs="Arial" w:eastAsia="Arial" w:hAnsi="Arial"/>
                  <w:sz w:val="18"/>
                  <w:szCs w:val="18"/>
                  <w:color w:val="0000FF"/>
                </w:rPr>
                <w:t xml:space="preserve">, 2020 and </w:t>
              </w:r>
            </w:hyperlink>
            <w:r>
              <w:rPr>
                <w:rFonts w:ascii="Arial" w:cs="Arial" w:eastAsia="Arial" w:hAnsi="Arial"/>
                <w:sz w:val="18"/>
                <w:szCs w:val="18"/>
                <w:color w:val="0000FF"/>
              </w:rPr>
              <w:t>2019</w:t>
            </w:r>
          </w:p>
        </w:tc>
        <w:tc>
          <w:tcPr>
            <w:tcW w:w="640" w:type="dxa"/>
            <w:vAlign w:val="bottom"/>
          </w:tcPr>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9</w:t>
              </w:r>
            </w:hyperlink>
          </w:p>
        </w:tc>
      </w:tr>
      <w:tr>
        <w:trPr>
          <w:trHeight w:val="304"/>
        </w:trPr>
        <w:tc>
          <w:tcPr>
            <w:tcW w:w="320" w:type="dxa"/>
            <w:vAlign w:val="bottom"/>
          </w:tcPr>
          <w:p>
            <w:pPr>
              <w:spacing w:after="0"/>
              <w:rPr>
                <w:sz w:val="24"/>
                <w:szCs w:val="24"/>
                <w:color w:val="auto"/>
              </w:rPr>
            </w:pPr>
          </w:p>
        </w:tc>
        <w:tc>
          <w:tcPr>
            <w:tcW w:w="5280" w:type="dxa"/>
            <w:vAlign w:val="bottom"/>
            <w:gridSpan w:val="2"/>
          </w:tcPr>
          <w:p>
            <w:pPr>
              <w:ind w:left="20"/>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Notes to Condensed Consolidated Financial Statements</w:t>
              </w:r>
            </w:hyperlink>
          </w:p>
        </w:tc>
        <w:tc>
          <w:tcPr>
            <w:tcW w:w="1220" w:type="dxa"/>
            <w:vAlign w:val="bottom"/>
            <w:tcBorders>
              <w:top w:val="single" w:sz="8" w:color="0000FF"/>
            </w:tcBorders>
            <w:gridSpan w:val="2"/>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Borders>
              <w:top w:val="single" w:sz="8" w:color="0000FF"/>
            </w:tcBorders>
            <w:gridSpan w:val="3"/>
          </w:tcPr>
          <w:p>
            <w:pPr>
              <w:spacing w:after="0"/>
              <w:rPr>
                <w:sz w:val="24"/>
                <w:szCs w:val="24"/>
                <w:color w:val="auto"/>
              </w:rPr>
            </w:pPr>
          </w:p>
        </w:tc>
        <w:tc>
          <w:tcPr>
            <w:tcW w:w="2600" w:type="dxa"/>
            <w:vAlign w:val="bottom"/>
            <w:gridSpan w:val="2"/>
          </w:tcPr>
          <w:p>
            <w:pPr>
              <w:spacing w:after="0"/>
              <w:rPr>
                <w:sz w:val="24"/>
                <w:szCs w:val="24"/>
                <w:color w:val="auto"/>
              </w:rPr>
            </w:pPr>
          </w:p>
        </w:tc>
        <w:tc>
          <w:tcPr>
            <w:tcW w:w="640" w:type="dxa"/>
            <w:vAlign w:val="bottom"/>
          </w:tcPr>
          <w:p>
            <w:pPr>
              <w:jc w:val="right"/>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10</w:t>
              </w:r>
            </w:hyperlink>
          </w:p>
        </w:tc>
      </w:tr>
      <w:tr>
        <w:trPr>
          <w:trHeight w:val="283"/>
        </w:trPr>
        <w:tc>
          <w:tcPr>
            <w:tcW w:w="320" w:type="dxa"/>
            <w:vAlign w:val="bottom"/>
          </w:tcPr>
          <w:p>
            <w:pPr>
              <w:spacing w:after="0"/>
              <w:rPr>
                <w:sz w:val="24"/>
                <w:szCs w:val="24"/>
                <w:color w:val="auto"/>
              </w:rPr>
            </w:pPr>
          </w:p>
        </w:tc>
        <w:tc>
          <w:tcPr>
            <w:tcW w:w="10260" w:type="dxa"/>
            <w:vAlign w:val="bottom"/>
            <w:gridSpan w:val="10"/>
          </w:tcPr>
          <w:p>
            <w:pPr>
              <w:ind w:left="20"/>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Report of Independent Registered Public Accounting Firm</w:t>
              </w:r>
            </w:hyperlink>
          </w:p>
        </w:tc>
        <w:tc>
          <w:tcPr>
            <w:tcW w:w="640" w:type="dxa"/>
            <w:vAlign w:val="bottom"/>
          </w:tcPr>
          <w:p>
            <w:pPr>
              <w:jc w:val="right"/>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34</w:t>
              </w:r>
            </w:hyperlink>
          </w:p>
        </w:tc>
      </w:tr>
      <w:tr>
        <w:trPr>
          <w:trHeight w:val="284"/>
        </w:trPr>
        <w:tc>
          <w:tcPr>
            <w:tcW w:w="10580" w:type="dxa"/>
            <w:vAlign w:val="bottom"/>
            <w:gridSpan w:val="11"/>
          </w:tcPr>
          <w:p>
            <w:pPr>
              <w:ind w:left="12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Item 2. Management's Discussion and Analysis of Financial Condition and Results of Operations</w:t>
              </w:r>
            </w:hyperlink>
          </w:p>
        </w:tc>
        <w:tc>
          <w:tcPr>
            <w:tcW w:w="640" w:type="dxa"/>
            <w:vAlign w:val="bottom"/>
          </w:tcPr>
          <w:p>
            <w:pPr>
              <w:jc w:val="right"/>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35</w:t>
              </w:r>
            </w:hyperlink>
          </w:p>
        </w:tc>
      </w:tr>
      <w:tr>
        <w:trPr>
          <w:trHeight w:val="283"/>
        </w:trPr>
        <w:tc>
          <w:tcPr>
            <w:tcW w:w="10580" w:type="dxa"/>
            <w:vAlign w:val="bottom"/>
            <w:gridSpan w:val="11"/>
          </w:tcPr>
          <w:p>
            <w:pPr>
              <w:ind w:left="12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Item 3. Quantitative and Qualitative Disclosures About Market Risk</w:t>
              </w:r>
            </w:hyperlink>
          </w:p>
        </w:tc>
        <w:tc>
          <w:tcPr>
            <w:tcW w:w="640" w:type="dxa"/>
            <w:vAlign w:val="bottom"/>
          </w:tcPr>
          <w:p>
            <w:pPr>
              <w:jc w:val="right"/>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51</w:t>
              </w:r>
            </w:hyperlink>
          </w:p>
        </w:tc>
      </w:tr>
      <w:tr>
        <w:trPr>
          <w:trHeight w:val="283"/>
        </w:trPr>
        <w:tc>
          <w:tcPr>
            <w:tcW w:w="10580" w:type="dxa"/>
            <w:vAlign w:val="bottom"/>
            <w:gridSpan w:val="11"/>
          </w:tcPr>
          <w:p>
            <w:pPr>
              <w:ind w:left="12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Item 4. Controls and Procedures</w:t>
              </w:r>
            </w:hyperlink>
          </w:p>
        </w:tc>
        <w:tc>
          <w:tcPr>
            <w:tcW w:w="640" w:type="dxa"/>
            <w:vAlign w:val="bottom"/>
          </w:tcPr>
          <w:p>
            <w:pPr>
              <w:jc w:val="right"/>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51</w:t>
              </w:r>
            </w:hyperlink>
          </w:p>
        </w:tc>
      </w:tr>
      <w:tr>
        <w:trPr>
          <w:trHeight w:val="283"/>
        </w:trPr>
        <w:tc>
          <w:tcPr>
            <w:tcW w:w="10580" w:type="dxa"/>
            <w:vAlign w:val="bottom"/>
            <w:gridSpan w:val="11"/>
          </w:tcPr>
          <w:p>
            <w:pPr>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PART II – OTHER INFORMATION</w:t>
              </w:r>
            </w:hyperlink>
          </w:p>
        </w:tc>
        <w:tc>
          <w:tcPr>
            <w:tcW w:w="640" w:type="dxa"/>
            <w:vAlign w:val="bottom"/>
          </w:tcPr>
          <w:p>
            <w:pPr>
              <w:jc w:val="right"/>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54</w:t>
              </w:r>
            </w:hyperlink>
          </w:p>
        </w:tc>
      </w:tr>
      <w:tr>
        <w:trPr>
          <w:trHeight w:val="284"/>
        </w:trPr>
        <w:tc>
          <w:tcPr>
            <w:tcW w:w="10580" w:type="dxa"/>
            <w:vAlign w:val="bottom"/>
            <w:gridSpan w:val="11"/>
          </w:tcPr>
          <w:p>
            <w:pPr>
              <w:ind w:left="12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Item 1. Legal Proceedings</w:t>
              </w:r>
            </w:hyperlink>
          </w:p>
        </w:tc>
        <w:tc>
          <w:tcPr>
            <w:tcW w:w="640" w:type="dxa"/>
            <w:vAlign w:val="bottom"/>
          </w:tcPr>
          <w:p>
            <w:pPr>
              <w:jc w:val="right"/>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54</w:t>
              </w:r>
            </w:hyperlink>
          </w:p>
        </w:tc>
      </w:tr>
      <w:tr>
        <w:trPr>
          <w:trHeight w:val="283"/>
        </w:trPr>
        <w:tc>
          <w:tcPr>
            <w:tcW w:w="10580" w:type="dxa"/>
            <w:vAlign w:val="bottom"/>
            <w:gridSpan w:val="11"/>
          </w:tcPr>
          <w:p>
            <w:pPr>
              <w:ind w:left="12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Item 1A. Risk Factors</w:t>
              </w:r>
            </w:hyperlink>
          </w:p>
        </w:tc>
        <w:tc>
          <w:tcPr>
            <w:tcW w:w="640" w:type="dxa"/>
            <w:vAlign w:val="bottom"/>
          </w:tcPr>
          <w:p>
            <w:pPr>
              <w:jc w:val="right"/>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56</w:t>
              </w:r>
            </w:hyperlink>
          </w:p>
        </w:tc>
      </w:tr>
      <w:tr>
        <w:trPr>
          <w:trHeight w:val="283"/>
        </w:trPr>
        <w:tc>
          <w:tcPr>
            <w:tcW w:w="10580" w:type="dxa"/>
            <w:vAlign w:val="bottom"/>
            <w:gridSpan w:val="11"/>
          </w:tcPr>
          <w:p>
            <w:pPr>
              <w:ind w:left="120"/>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Item 2. Unregistered Sales of Equity Securities and Use of Proceeds</w:t>
              </w:r>
            </w:hyperlink>
          </w:p>
        </w:tc>
        <w:tc>
          <w:tcPr>
            <w:tcW w:w="640" w:type="dxa"/>
            <w:vAlign w:val="bottom"/>
          </w:tcPr>
          <w:p>
            <w:pPr>
              <w:jc w:val="right"/>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70</w:t>
              </w:r>
            </w:hyperlink>
          </w:p>
        </w:tc>
      </w:tr>
      <w:tr>
        <w:trPr>
          <w:trHeight w:val="284"/>
        </w:trPr>
        <w:tc>
          <w:tcPr>
            <w:tcW w:w="10580" w:type="dxa"/>
            <w:vAlign w:val="bottom"/>
            <w:gridSpan w:val="11"/>
          </w:tcPr>
          <w:p>
            <w:pPr>
              <w:ind w:left="120"/>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Item 6. Exhibits</w:t>
              </w:r>
            </w:hyperlink>
          </w:p>
        </w:tc>
        <w:tc>
          <w:tcPr>
            <w:tcW w:w="640" w:type="dxa"/>
            <w:vAlign w:val="bottom"/>
          </w:tcPr>
          <w:p>
            <w:pPr>
              <w:jc w:val="right"/>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71</w:t>
              </w:r>
            </w:hyperlink>
          </w:p>
        </w:tc>
      </w:tr>
      <w:tr>
        <w:trPr>
          <w:trHeight w:val="283"/>
        </w:trPr>
        <w:tc>
          <w:tcPr>
            <w:tcW w:w="10580" w:type="dxa"/>
            <w:vAlign w:val="bottom"/>
            <w:gridSpan w:val="11"/>
          </w:tcPr>
          <w:p>
            <w:pPr>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SIGNATURES</w:t>
              </w:r>
            </w:hyperlink>
          </w:p>
        </w:tc>
        <w:tc>
          <w:tcPr>
            <w:tcW w:w="640" w:type="dxa"/>
            <w:vAlign w:val="bottom"/>
          </w:tcPr>
          <w:p>
            <w:pPr>
              <w:jc w:val="right"/>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72</w:t>
              </w:r>
            </w:hyperlink>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Raytheon Technologies Corporation and its subsidiaries' names, abbreviations thereof, logos, and product and service designators are all either the registered or unregistered trademarks or tradenames of Raytheon Technologies Corporation and its subsidiaries. Names, abbreviations of names, logos, and products and service designators of other companies are either the registered or unregistered trademarks or tradenames of their respective owners. References to internet web sites in this Form 10-Q are provided for convenience only. Information available through these web sites is not incorporated by reference into this Form 10-Q.</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RAYTHEON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OPERATIONS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Quarter Ended March 31,</w:t>
            </w:r>
          </w:p>
        </w:tc>
      </w:tr>
      <w:tr>
        <w:trPr>
          <w:trHeight w:val="196"/>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 except per share amounts)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3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Product sales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12,432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12,875</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Service sales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5,778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5,490</w:t>
            </w:r>
          </w:p>
        </w:tc>
      </w:tr>
      <w:tr>
        <w:trPr>
          <w:trHeight w:val="237"/>
        </w:trPr>
        <w:tc>
          <w:tcPr>
            <w:tcW w:w="82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18,210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18,365</w:t>
            </w:r>
          </w:p>
        </w:tc>
      </w:tr>
      <w:tr>
        <w:trPr>
          <w:trHeight w:val="27"/>
        </w:trPr>
        <w:tc>
          <w:tcPr>
            <w:tcW w:w="8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Cost of products sold</w:t>
            </w: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9,781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10,286</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Cost of services sold</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3,421</w:t>
            </w: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728</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2,248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1,997</w:t>
            </w:r>
          </w:p>
        </w:tc>
      </w:tr>
      <w:tr>
        <w:trPr>
          <w:trHeight w:val="237"/>
        </w:trPr>
        <w:tc>
          <w:tcPr>
            <w:tcW w:w="82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16,327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16,432</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112</w:t>
            </w:r>
          </w:p>
        </w:tc>
      </w:tr>
      <w:tr>
        <w:trPr>
          <w:trHeight w:val="237"/>
        </w:trPr>
        <w:tc>
          <w:tcPr>
            <w:tcW w:w="826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1,807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2,045</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Non-service pension (benefit)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w:t>
            </w: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Debt extinguishment costs</w:t>
            </w: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431</w:t>
            </w:r>
          </w:p>
        </w:tc>
      </w:tr>
      <w:tr>
        <w:trPr>
          <w:trHeight w:val="237"/>
        </w:trPr>
        <w:tc>
          <w:tcPr>
            <w:tcW w:w="8260" w:type="dxa"/>
            <w:vAlign w:val="bottom"/>
          </w:tcPr>
          <w:p>
            <w:pPr>
              <w:ind w:left="20"/>
              <w:spacing w:after="0"/>
              <w:rPr>
                <w:sz w:val="20"/>
                <w:szCs w:val="20"/>
                <w:color w:val="auto"/>
              </w:rPr>
            </w:pPr>
            <w:r>
              <w:rPr>
                <w:rFonts w:ascii="Arial" w:cs="Arial" w:eastAsia="Arial" w:hAnsi="Arial"/>
                <w:sz w:val="18"/>
                <w:szCs w:val="18"/>
                <w:color w:val="auto"/>
              </w:rPr>
              <w:t>Income from operations before income taxes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1,822</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941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397</w:t>
            </w:r>
          </w:p>
        </w:tc>
      </w:tr>
      <w:tr>
        <w:trPr>
          <w:trHeight w:val="237"/>
        </w:trPr>
        <w:tc>
          <w:tcPr>
            <w:tcW w:w="8260" w:type="dxa"/>
            <w:vAlign w:val="bottom"/>
          </w:tcPr>
          <w:p>
            <w:pPr>
              <w:ind w:left="20"/>
              <w:spacing w:after="0"/>
              <w:rPr>
                <w:sz w:val="20"/>
                <w:szCs w:val="20"/>
                <w:color w:val="auto"/>
              </w:rPr>
            </w:pPr>
            <w:r>
              <w:rPr>
                <w:rFonts w:ascii="Arial" w:cs="Arial" w:eastAsia="Arial" w:hAnsi="Arial"/>
                <w:sz w:val="18"/>
                <w:szCs w:val="18"/>
                <w:color w:val="auto"/>
              </w:rPr>
              <w:t>Net income from operations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1,425</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Less: Noncontrolling interest in subsidiaries' earnings from operations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79</w:t>
            </w:r>
          </w:p>
        </w:tc>
      </w:tr>
      <w:tr>
        <w:trPr>
          <w:trHeight w:val="264"/>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Net (loss) income attributable to common shareowners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(83)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1,346</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7"/>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Earnings Per Share of Common Stock - Basic:</w:t>
            </w: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Net (loss) income attributable to common shareowners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1.58</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Earnings Per Share of Common Stock - Diluted:</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Net (loss) income attributable to common shareowners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1.56</w:t>
            </w:r>
          </w:p>
        </w:tc>
      </w:tr>
    </w:tbl>
    <w:p>
      <w:pPr>
        <w:spacing w:after="0" w:line="1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RAYTHEON TECHNOLOGIES CORPORATION</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u w:val="single" w:color="auto"/>
          <w:color w:val="auto"/>
        </w:rPr>
        <w:t>CONDENSED CONSOLIDATED STATEMENT OF COMPREHENSIVE (LOSS) INCOME</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892"/>
              <w:spacing w:after="0"/>
              <w:rPr>
                <w:sz w:val="20"/>
                <w:szCs w:val="20"/>
                <w:color w:val="auto"/>
              </w:rPr>
            </w:pPr>
            <w:r>
              <w:rPr>
                <w:rFonts w:ascii="Arial" w:cs="Arial" w:eastAsia="Arial" w:hAnsi="Arial"/>
                <w:sz w:val="14"/>
                <w:szCs w:val="14"/>
                <w:b w:val="1"/>
                <w:bCs w:val="1"/>
                <w:color w:val="auto"/>
              </w:rPr>
              <w:t>Quarter Ended March 31,</w:t>
            </w:r>
          </w:p>
        </w:tc>
      </w:tr>
      <w:tr>
        <w:trPr>
          <w:trHeight w:val="196"/>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2019</w:t>
            </w:r>
          </w:p>
        </w:tc>
      </w:tr>
      <w:tr>
        <w:trPr>
          <w:trHeight w:val="269"/>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from operations</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1,425</w:t>
            </w:r>
          </w:p>
        </w:tc>
      </w:tr>
      <w:tr>
        <w:trPr>
          <w:trHeight w:val="223"/>
        </w:trPr>
        <w:tc>
          <w:tcPr>
            <w:tcW w:w="7340" w:type="dxa"/>
            <w:vAlign w:val="bottom"/>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4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27"/>
        </w:trPr>
        <w:tc>
          <w:tcPr>
            <w:tcW w:w="7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(1,444)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521</w:t>
            </w:r>
          </w:p>
        </w:tc>
      </w:tr>
      <w:tr>
        <w:trPr>
          <w:trHeight w:val="243"/>
        </w:trPr>
        <w:tc>
          <w:tcPr>
            <w:tcW w:w="7340" w:type="dxa"/>
            <w:vAlign w:val="bottom"/>
          </w:tcPr>
          <w:p>
            <w:pPr>
              <w:ind w:left="220"/>
              <w:spacing w:after="0"/>
              <w:rPr>
                <w:sz w:val="20"/>
                <w:szCs w:val="20"/>
                <w:color w:val="auto"/>
              </w:rPr>
            </w:pPr>
            <w:r>
              <w:rPr>
                <w:rFonts w:ascii="Arial" w:cs="Arial" w:eastAsia="Arial" w:hAnsi="Arial"/>
                <w:sz w:val="18"/>
                <w:szCs w:val="18"/>
                <w:color w:val="auto"/>
              </w:rPr>
              <w:t>Pension and postretirement benefit plans adjustments</w:t>
            </w:r>
          </w:p>
        </w:tc>
        <w:tc>
          <w:tcPr>
            <w:tcW w:w="420" w:type="dxa"/>
            <w:vAlign w:val="bottom"/>
          </w:tcPr>
          <w:p>
            <w:pPr>
              <w:spacing w:after="0"/>
              <w:rPr>
                <w:sz w:val="21"/>
                <w:szCs w:val="21"/>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33</w:t>
            </w:r>
          </w:p>
        </w:tc>
      </w:tr>
      <w:tr>
        <w:trPr>
          <w:trHeight w:val="27"/>
        </w:trPr>
        <w:tc>
          <w:tcPr>
            <w:tcW w:w="7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Change in unrealized cash flow hedging</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w:t>
            </w:r>
          </w:p>
        </w:tc>
      </w:tr>
      <w:tr>
        <w:trPr>
          <w:trHeight w:val="237"/>
        </w:trPr>
        <w:tc>
          <w:tcPr>
            <w:tcW w:w="7340" w:type="dxa"/>
            <w:vAlign w:val="bottom"/>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(1,647)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562</w:t>
            </w:r>
          </w:p>
        </w:tc>
      </w:tr>
      <w:tr>
        <w:trPr>
          <w:trHeight w:val="27"/>
        </w:trPr>
        <w:tc>
          <w:tcPr>
            <w:tcW w:w="73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 income</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1,987</w:t>
            </w:r>
          </w:p>
        </w:tc>
      </w:tr>
      <w:tr>
        <w:trPr>
          <w:trHeight w:val="243"/>
        </w:trPr>
        <w:tc>
          <w:tcPr>
            <w:tcW w:w="7340" w:type="dxa"/>
            <w:vAlign w:val="bottom"/>
          </w:tcPr>
          <w:p>
            <w:pPr>
              <w:ind w:left="22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42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(82)</w:t>
            </w:r>
          </w:p>
        </w:tc>
      </w:tr>
      <w:tr>
        <w:trPr>
          <w:trHeight w:val="27"/>
        </w:trPr>
        <w:tc>
          <w:tcPr>
            <w:tcW w:w="73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8"/>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 income attributable to common shareowners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(1,724)</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1,905</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121" w:right="67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RAYTHEON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8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Pr>
          <w:p>
            <w:pPr>
              <w:spacing w:after="0"/>
              <w:rPr>
                <w:sz w:val="16"/>
                <w:szCs w:val="16"/>
                <w:color w:val="auto"/>
              </w:rPr>
            </w:pPr>
          </w:p>
        </w:tc>
        <w:tc>
          <w:tcPr>
            <w:tcW w:w="150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Pr>
          <w:p>
            <w:pPr>
              <w:spacing w:after="0"/>
              <w:rPr>
                <w:sz w:val="16"/>
                <w:szCs w:val="16"/>
                <w:color w:val="auto"/>
              </w:rPr>
            </w:pPr>
          </w:p>
        </w:tc>
        <w:tc>
          <w:tcPr>
            <w:tcW w:w="1460" w:type="dxa"/>
            <w:vAlign w:val="bottom"/>
          </w:tcPr>
          <w:p>
            <w:pPr>
              <w:jc w:val="right"/>
              <w:ind w:right="135"/>
              <w:spacing w:after="0"/>
              <w:rPr>
                <w:sz w:val="20"/>
                <w:szCs w:val="20"/>
                <w:color w:val="auto"/>
              </w:rPr>
            </w:pPr>
            <w:r>
              <w:rPr>
                <w:rFonts w:ascii="Arial" w:cs="Arial" w:eastAsia="Arial" w:hAnsi="Arial"/>
                <w:sz w:val="14"/>
                <w:szCs w:val="14"/>
                <w:b w:val="1"/>
                <w:bCs w:val="1"/>
                <w:color w:val="auto"/>
                <w:w w:val="96"/>
              </w:rPr>
              <w:t>December 31, 2019</w:t>
            </w:r>
          </w:p>
        </w:tc>
        <w:tc>
          <w:tcPr>
            <w:tcW w:w="0" w:type="dxa"/>
            <w:vAlign w:val="bottom"/>
          </w:tcPr>
          <w:p>
            <w:pPr>
              <w:spacing w:after="0"/>
              <w:rPr>
                <w:sz w:val="1"/>
                <w:szCs w:val="1"/>
                <w:color w:val="auto"/>
              </w:rPr>
            </w:pPr>
          </w:p>
        </w:tc>
      </w:tr>
      <w:tr>
        <w:trPr>
          <w:trHeight w:val="175"/>
        </w:trPr>
        <w:tc>
          <w:tcPr>
            <w:tcW w:w="20" w:type="dxa"/>
            <w:vAlign w:val="bottom"/>
            <w:tcBorders>
              <w:top w:val="single" w:sz="8" w:color="CCEEFF"/>
            </w:tcBorders>
            <w:shd w:val="clear" w:color="auto" w:fill="CCEEFF"/>
          </w:tcPr>
          <w:p>
            <w:pPr>
              <w:spacing w:after="0"/>
              <w:rPr>
                <w:sz w:val="15"/>
                <w:szCs w:val="15"/>
                <w:color w:val="auto"/>
              </w:rPr>
            </w:pPr>
          </w:p>
        </w:tc>
        <w:tc>
          <w:tcPr>
            <w:tcW w:w="7880" w:type="dxa"/>
            <w:vAlign w:val="bottom"/>
            <w:tcBorders>
              <w:top w:val="single" w:sz="8" w:color="CCEEFF"/>
            </w:tcBorders>
            <w:gridSpan w:val="3"/>
            <w:shd w:val="clear" w:color="auto" w:fill="CCEEFF"/>
          </w:tcPr>
          <w:p>
            <w:pPr>
              <w:spacing w:after="0" w:line="175" w:lineRule="exact"/>
              <w:rPr>
                <w:sz w:val="20"/>
                <w:szCs w:val="20"/>
                <w:color w:val="auto"/>
              </w:rPr>
            </w:pPr>
            <w:r>
              <w:rPr>
                <w:rFonts w:ascii="Arial" w:cs="Arial" w:eastAsia="Arial" w:hAnsi="Arial"/>
                <w:sz w:val="17"/>
                <w:szCs w:val="17"/>
                <w:b w:val="1"/>
                <w:bCs w:val="1"/>
                <w:color w:val="auto"/>
              </w:rPr>
              <w:t>Assets</w:t>
            </w:r>
          </w:p>
        </w:tc>
        <w:tc>
          <w:tcPr>
            <w:tcW w:w="22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62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880" w:type="dxa"/>
            <w:vAlign w:val="bottom"/>
            <w:gridSpan w:val="3"/>
          </w:tcPr>
          <w:p>
            <w:pPr>
              <w:spacing w:after="0"/>
              <w:rPr>
                <w:sz w:val="20"/>
                <w:szCs w:val="20"/>
                <w:color w:val="auto"/>
              </w:rPr>
            </w:pPr>
            <w:r>
              <w:rPr>
                <w:rFonts w:ascii="Arial" w:cs="Arial" w:eastAsia="Arial" w:hAnsi="Arial"/>
                <w:sz w:val="17"/>
                <w:szCs w:val="17"/>
                <w:color w:val="auto"/>
              </w:rPr>
              <w:t>Cash and cash equivalents</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ind w:right="75"/>
              <w:spacing w:after="0"/>
              <w:rPr>
                <w:sz w:val="20"/>
                <w:szCs w:val="20"/>
                <w:color w:val="auto"/>
              </w:rPr>
            </w:pPr>
            <w:r>
              <w:rPr>
                <w:rFonts w:ascii="Arial" w:cs="Arial" w:eastAsia="Arial" w:hAnsi="Arial"/>
                <w:sz w:val="17"/>
                <w:szCs w:val="17"/>
                <w:color w:val="auto"/>
              </w:rPr>
              <w:t>8,001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ind w:right="75"/>
              <w:spacing w:after="0"/>
              <w:rPr>
                <w:sz w:val="20"/>
                <w:szCs w:val="20"/>
                <w:color w:val="auto"/>
              </w:rPr>
            </w:pPr>
            <w:r>
              <w:rPr>
                <w:rFonts w:ascii="Arial" w:cs="Arial" w:eastAsia="Arial" w:hAnsi="Arial"/>
                <w:sz w:val="17"/>
                <w:szCs w:val="17"/>
                <w:color w:val="auto"/>
              </w:rPr>
              <w:t>7,378</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8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Accounts receivable, net</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13,104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13,524</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880" w:type="dxa"/>
            <w:vAlign w:val="bottom"/>
            <w:gridSpan w:val="3"/>
          </w:tcPr>
          <w:p>
            <w:pPr>
              <w:spacing w:after="0"/>
              <w:rPr>
                <w:sz w:val="20"/>
                <w:szCs w:val="20"/>
                <w:color w:val="auto"/>
              </w:rPr>
            </w:pPr>
            <w:r>
              <w:rPr>
                <w:rFonts w:ascii="Arial" w:cs="Arial" w:eastAsia="Arial" w:hAnsi="Arial"/>
                <w:sz w:val="17"/>
                <w:szCs w:val="17"/>
                <w:color w:val="auto"/>
              </w:rPr>
              <w:t>Contract assets, current</w:t>
            </w:r>
          </w:p>
        </w:tc>
        <w:tc>
          <w:tcPr>
            <w:tcW w:w="220" w:type="dxa"/>
            <w:vAlign w:val="bottom"/>
          </w:tcPr>
          <w:p>
            <w:pPr>
              <w:spacing w:after="0"/>
              <w:rPr>
                <w:sz w:val="19"/>
                <w:szCs w:val="19"/>
                <w:color w:val="auto"/>
              </w:rPr>
            </w:pPr>
          </w:p>
        </w:tc>
        <w:tc>
          <w:tcPr>
            <w:tcW w:w="1400" w:type="dxa"/>
            <w:vAlign w:val="bottom"/>
          </w:tcPr>
          <w:p>
            <w:pPr>
              <w:jc w:val="right"/>
              <w:ind w:right="75"/>
              <w:spacing w:after="0"/>
              <w:rPr>
                <w:sz w:val="20"/>
                <w:szCs w:val="20"/>
                <w:color w:val="auto"/>
              </w:rPr>
            </w:pPr>
            <w:r>
              <w:rPr>
                <w:rFonts w:ascii="Arial" w:cs="Arial" w:eastAsia="Arial" w:hAnsi="Arial"/>
                <w:sz w:val="17"/>
                <w:szCs w:val="17"/>
                <w:color w:val="auto"/>
              </w:rPr>
              <w:t>4,549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75"/>
              <w:spacing w:after="0"/>
              <w:rPr>
                <w:sz w:val="20"/>
                <w:szCs w:val="20"/>
                <w:color w:val="auto"/>
              </w:rPr>
            </w:pPr>
            <w:r>
              <w:rPr>
                <w:rFonts w:ascii="Arial" w:cs="Arial" w:eastAsia="Arial" w:hAnsi="Arial"/>
                <w:sz w:val="17"/>
                <w:szCs w:val="17"/>
                <w:color w:val="auto"/>
              </w:rPr>
              <w:t>4,184</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8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Inventory, net</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11,506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10,950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880" w:type="dxa"/>
            <w:vAlign w:val="bottom"/>
            <w:gridSpan w:val="3"/>
          </w:tcPr>
          <w:p>
            <w:pPr>
              <w:spacing w:after="0"/>
              <w:rPr>
                <w:sz w:val="20"/>
                <w:szCs w:val="20"/>
                <w:color w:val="auto"/>
              </w:rPr>
            </w:pPr>
            <w:r>
              <w:rPr>
                <w:rFonts w:ascii="Arial" w:cs="Arial" w:eastAsia="Arial" w:hAnsi="Arial"/>
                <w:sz w:val="17"/>
                <w:szCs w:val="17"/>
                <w:color w:val="auto"/>
              </w:rPr>
              <w:t>Other assets, current</w:t>
            </w:r>
          </w:p>
        </w:tc>
        <w:tc>
          <w:tcPr>
            <w:tcW w:w="220" w:type="dxa"/>
            <w:vAlign w:val="bottom"/>
          </w:tcPr>
          <w:p>
            <w:pPr>
              <w:spacing w:after="0"/>
              <w:rPr>
                <w:sz w:val="19"/>
                <w:szCs w:val="19"/>
                <w:color w:val="auto"/>
              </w:rPr>
            </w:pPr>
          </w:p>
        </w:tc>
        <w:tc>
          <w:tcPr>
            <w:tcW w:w="1400" w:type="dxa"/>
            <w:vAlign w:val="bottom"/>
          </w:tcPr>
          <w:p>
            <w:pPr>
              <w:jc w:val="right"/>
              <w:ind w:right="75"/>
              <w:spacing w:after="0"/>
              <w:rPr>
                <w:sz w:val="20"/>
                <w:szCs w:val="20"/>
                <w:color w:val="auto"/>
              </w:rPr>
            </w:pPr>
            <w:r>
              <w:rPr>
                <w:rFonts w:ascii="Arial" w:cs="Arial" w:eastAsia="Arial" w:hAnsi="Arial"/>
                <w:sz w:val="17"/>
                <w:szCs w:val="17"/>
                <w:color w:val="auto"/>
              </w:rPr>
              <w:t>1,715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75"/>
              <w:spacing w:after="0"/>
              <w:rPr>
                <w:sz w:val="20"/>
                <w:szCs w:val="20"/>
                <w:color w:val="auto"/>
              </w:rPr>
            </w:pPr>
            <w:r>
              <w:rPr>
                <w:rFonts w:ascii="Arial" w:cs="Arial" w:eastAsia="Arial" w:hAnsi="Arial"/>
                <w:sz w:val="17"/>
                <w:szCs w:val="17"/>
                <w:color w:val="auto"/>
              </w:rPr>
              <w:t>1,461</w:t>
            </w:r>
          </w:p>
        </w:tc>
        <w:tc>
          <w:tcPr>
            <w:tcW w:w="0" w:type="dxa"/>
            <w:vAlign w:val="bottom"/>
          </w:tcPr>
          <w:p>
            <w:pPr>
              <w:spacing w:after="0"/>
              <w:rPr>
                <w:sz w:val="1"/>
                <w:szCs w:val="1"/>
                <w:color w:val="auto"/>
              </w:rPr>
            </w:pPr>
          </w:p>
        </w:tc>
      </w:tr>
      <w:tr>
        <w:trPr>
          <w:trHeight w:val="31"/>
        </w:trPr>
        <w:tc>
          <w:tcPr>
            <w:tcW w:w="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6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Total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38,875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37,497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80" w:type="dxa"/>
            <w:vAlign w:val="bottom"/>
            <w:gridSpan w:val="3"/>
          </w:tcPr>
          <w:p>
            <w:pPr>
              <w:spacing w:after="0"/>
              <w:rPr>
                <w:sz w:val="20"/>
                <w:szCs w:val="20"/>
                <w:color w:val="auto"/>
              </w:rPr>
            </w:pPr>
            <w:r>
              <w:rPr>
                <w:rFonts w:ascii="Arial" w:cs="Arial" w:eastAsia="Arial" w:hAnsi="Arial"/>
                <w:sz w:val="17"/>
                <w:szCs w:val="17"/>
                <w:color w:val="auto"/>
              </w:rPr>
              <w:t>Customer financing assets</w:t>
            </w:r>
          </w:p>
        </w:tc>
        <w:tc>
          <w:tcPr>
            <w:tcW w:w="2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3,496</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3,477</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8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Future income tax benefits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1,444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1,611</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880" w:type="dxa"/>
            <w:vAlign w:val="bottom"/>
            <w:gridSpan w:val="3"/>
          </w:tcPr>
          <w:p>
            <w:pPr>
              <w:spacing w:after="0"/>
              <w:rPr>
                <w:sz w:val="20"/>
                <w:szCs w:val="20"/>
                <w:color w:val="auto"/>
              </w:rPr>
            </w:pPr>
            <w:r>
              <w:rPr>
                <w:rFonts w:ascii="Arial" w:cs="Arial" w:eastAsia="Arial" w:hAnsi="Arial"/>
                <w:sz w:val="17"/>
                <w:szCs w:val="17"/>
                <w:color w:val="auto"/>
              </w:rPr>
              <w:t>Fixed assets</w:t>
            </w:r>
          </w:p>
        </w:tc>
        <w:tc>
          <w:tcPr>
            <w:tcW w:w="220" w:type="dxa"/>
            <w:vAlign w:val="bottom"/>
          </w:tcPr>
          <w:p>
            <w:pPr>
              <w:spacing w:after="0"/>
              <w:rPr>
                <w:sz w:val="19"/>
                <w:szCs w:val="19"/>
                <w:color w:val="auto"/>
              </w:rPr>
            </w:pPr>
          </w:p>
        </w:tc>
        <w:tc>
          <w:tcPr>
            <w:tcW w:w="1400" w:type="dxa"/>
            <w:vAlign w:val="bottom"/>
          </w:tcPr>
          <w:p>
            <w:pPr>
              <w:jc w:val="right"/>
              <w:ind w:right="75"/>
              <w:spacing w:after="0"/>
              <w:rPr>
                <w:sz w:val="20"/>
                <w:szCs w:val="20"/>
                <w:color w:val="auto"/>
              </w:rPr>
            </w:pPr>
            <w:r>
              <w:rPr>
                <w:rFonts w:ascii="Arial" w:cs="Arial" w:eastAsia="Arial" w:hAnsi="Arial"/>
                <w:sz w:val="17"/>
                <w:szCs w:val="17"/>
                <w:color w:val="auto"/>
              </w:rPr>
              <w:t>25,544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75"/>
              <w:spacing w:after="0"/>
              <w:rPr>
                <w:sz w:val="20"/>
                <w:szCs w:val="20"/>
                <w:color w:val="auto"/>
              </w:rPr>
            </w:pPr>
            <w:r>
              <w:rPr>
                <w:rFonts w:ascii="Arial" w:cs="Arial" w:eastAsia="Arial" w:hAnsi="Arial"/>
                <w:sz w:val="17"/>
                <w:szCs w:val="17"/>
                <w:color w:val="auto"/>
              </w:rPr>
              <w:t>25,686</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Less: Accumulated depreciation</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(13,060)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(12,931)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20" w:type="dxa"/>
            <w:vAlign w:val="bottom"/>
            <w:gridSpan w:val="2"/>
          </w:tcPr>
          <w:p>
            <w:pPr>
              <w:ind w:left="180"/>
              <w:spacing w:after="0"/>
              <w:rPr>
                <w:sz w:val="20"/>
                <w:szCs w:val="20"/>
                <w:color w:val="auto"/>
              </w:rPr>
            </w:pPr>
            <w:r>
              <w:rPr>
                <w:rFonts w:ascii="Arial" w:cs="Arial" w:eastAsia="Arial" w:hAnsi="Arial"/>
                <w:sz w:val="17"/>
                <w:szCs w:val="17"/>
                <w:color w:val="auto"/>
              </w:rPr>
              <w:t>Fixed assets, net</w:t>
            </w:r>
          </w:p>
        </w:tc>
        <w:tc>
          <w:tcPr>
            <w:tcW w:w="2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12,484</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12,755</w:t>
            </w:r>
          </w:p>
        </w:tc>
        <w:tc>
          <w:tcPr>
            <w:tcW w:w="0" w:type="dxa"/>
            <w:vAlign w:val="bottom"/>
          </w:tcPr>
          <w:p>
            <w:pPr>
              <w:spacing w:after="0"/>
              <w:rPr>
                <w:sz w:val="1"/>
                <w:szCs w:val="1"/>
                <w:color w:val="auto"/>
              </w:rPr>
            </w:pPr>
          </w:p>
        </w:tc>
      </w:tr>
      <w:tr>
        <w:trPr>
          <w:trHeight w:val="31"/>
        </w:trPr>
        <w:tc>
          <w:tcPr>
            <w:tcW w:w="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6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78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Operating lease right-of-use assets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2,624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2,599</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880" w:type="dxa"/>
            <w:vAlign w:val="bottom"/>
            <w:gridSpan w:val="3"/>
          </w:tcPr>
          <w:p>
            <w:pPr>
              <w:spacing w:after="0"/>
              <w:rPr>
                <w:sz w:val="20"/>
                <w:szCs w:val="20"/>
                <w:color w:val="auto"/>
              </w:rPr>
            </w:pPr>
            <w:r>
              <w:rPr>
                <w:rFonts w:ascii="Arial" w:cs="Arial" w:eastAsia="Arial" w:hAnsi="Arial"/>
                <w:sz w:val="17"/>
                <w:szCs w:val="17"/>
                <w:color w:val="auto"/>
              </w:rPr>
              <w:t>Goodwill</w:t>
            </w:r>
          </w:p>
        </w:tc>
        <w:tc>
          <w:tcPr>
            <w:tcW w:w="220" w:type="dxa"/>
            <w:vAlign w:val="bottom"/>
          </w:tcPr>
          <w:p>
            <w:pPr>
              <w:spacing w:after="0"/>
              <w:rPr>
                <w:sz w:val="19"/>
                <w:szCs w:val="19"/>
                <w:color w:val="auto"/>
              </w:rPr>
            </w:pPr>
          </w:p>
        </w:tc>
        <w:tc>
          <w:tcPr>
            <w:tcW w:w="1400" w:type="dxa"/>
            <w:vAlign w:val="bottom"/>
          </w:tcPr>
          <w:p>
            <w:pPr>
              <w:jc w:val="right"/>
              <w:ind w:right="75"/>
              <w:spacing w:after="0"/>
              <w:rPr>
                <w:sz w:val="20"/>
                <w:szCs w:val="20"/>
                <w:color w:val="auto"/>
              </w:rPr>
            </w:pPr>
            <w:r>
              <w:rPr>
                <w:rFonts w:ascii="Arial" w:cs="Arial" w:eastAsia="Arial" w:hAnsi="Arial"/>
                <w:sz w:val="17"/>
                <w:szCs w:val="17"/>
                <w:color w:val="auto"/>
              </w:rPr>
              <w:t>47,481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75"/>
              <w:spacing w:after="0"/>
              <w:rPr>
                <w:sz w:val="20"/>
                <w:szCs w:val="20"/>
                <w:color w:val="auto"/>
              </w:rPr>
            </w:pPr>
            <w:r>
              <w:rPr>
                <w:rFonts w:ascii="Arial" w:cs="Arial" w:eastAsia="Arial" w:hAnsi="Arial"/>
                <w:sz w:val="17"/>
                <w:szCs w:val="17"/>
                <w:color w:val="auto"/>
              </w:rPr>
              <w:t>48,063</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8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Intangible assets, net</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25,600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26,046</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880" w:type="dxa"/>
            <w:vAlign w:val="bottom"/>
            <w:gridSpan w:val="3"/>
          </w:tcPr>
          <w:p>
            <w:pPr>
              <w:spacing w:after="0"/>
              <w:rPr>
                <w:sz w:val="20"/>
                <w:szCs w:val="20"/>
                <w:color w:val="auto"/>
              </w:rPr>
            </w:pPr>
            <w:r>
              <w:rPr>
                <w:rFonts w:ascii="Arial" w:cs="Arial" w:eastAsia="Arial" w:hAnsi="Arial"/>
                <w:sz w:val="17"/>
                <w:szCs w:val="17"/>
                <w:color w:val="auto"/>
              </w:rPr>
              <w:t>Other assets</w:t>
            </w:r>
          </w:p>
        </w:tc>
        <w:tc>
          <w:tcPr>
            <w:tcW w:w="220" w:type="dxa"/>
            <w:vAlign w:val="bottom"/>
          </w:tcPr>
          <w:p>
            <w:pPr>
              <w:spacing w:after="0"/>
              <w:rPr>
                <w:sz w:val="19"/>
                <w:szCs w:val="19"/>
                <w:color w:val="auto"/>
              </w:rPr>
            </w:pPr>
          </w:p>
        </w:tc>
        <w:tc>
          <w:tcPr>
            <w:tcW w:w="1400" w:type="dxa"/>
            <w:vAlign w:val="bottom"/>
          </w:tcPr>
          <w:p>
            <w:pPr>
              <w:jc w:val="right"/>
              <w:ind w:right="75"/>
              <w:spacing w:after="0"/>
              <w:rPr>
                <w:sz w:val="20"/>
                <w:szCs w:val="20"/>
                <w:color w:val="auto"/>
              </w:rPr>
            </w:pPr>
            <w:r>
              <w:rPr>
                <w:rFonts w:ascii="Arial" w:cs="Arial" w:eastAsia="Arial" w:hAnsi="Arial"/>
                <w:sz w:val="17"/>
                <w:szCs w:val="17"/>
                <w:color w:val="auto"/>
              </w:rPr>
              <w:t>7,568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75"/>
              <w:spacing w:after="0"/>
              <w:rPr>
                <w:sz w:val="20"/>
                <w:szCs w:val="20"/>
                <w:color w:val="auto"/>
              </w:rPr>
            </w:pPr>
            <w:r>
              <w:rPr>
                <w:rFonts w:ascii="Arial" w:cs="Arial" w:eastAsia="Arial" w:hAnsi="Arial"/>
                <w:sz w:val="17"/>
                <w:szCs w:val="17"/>
                <w:color w:val="auto"/>
              </w:rPr>
              <w:t>7,668</w:t>
            </w:r>
          </w:p>
        </w:tc>
        <w:tc>
          <w:tcPr>
            <w:tcW w:w="0" w:type="dxa"/>
            <w:vAlign w:val="bottom"/>
          </w:tcPr>
          <w:p>
            <w:pPr>
              <w:spacing w:after="0"/>
              <w:rPr>
                <w:sz w:val="1"/>
                <w:szCs w:val="1"/>
                <w:color w:val="auto"/>
              </w:rPr>
            </w:pPr>
          </w:p>
        </w:tc>
      </w:tr>
      <w:tr>
        <w:trPr>
          <w:trHeight w:val="31"/>
        </w:trPr>
        <w:tc>
          <w:tcPr>
            <w:tcW w:w="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6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3"/>
        </w:trPr>
        <w:tc>
          <w:tcPr>
            <w:tcW w:w="20" w:type="dxa"/>
            <w:vAlign w:val="bottom"/>
            <w:tcBorders>
              <w:bottom w:val="single" w:sz="8" w:color="CCEEFF"/>
            </w:tcBorders>
            <w:shd w:val="clear" w:color="auto" w:fill="CCEEFF"/>
          </w:tcPr>
          <w:p>
            <w:pPr>
              <w:spacing w:after="0"/>
              <w:rPr>
                <w:sz w:val="23"/>
                <w:szCs w:val="23"/>
                <w:color w:val="auto"/>
              </w:rPr>
            </w:pPr>
          </w:p>
        </w:tc>
        <w:tc>
          <w:tcPr>
            <w:tcW w:w="788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7"/>
                <w:szCs w:val="17"/>
                <w:color w:val="auto"/>
              </w:rPr>
              <w:t>Total Assets</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139,572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139,716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880" w:type="dxa"/>
            <w:vAlign w:val="bottom"/>
            <w:tcBorders>
              <w:top w:val="single" w:sz="8" w:color="CCEEFF"/>
              <w:bottom w:val="single" w:sz="8" w:color="CCEEFF"/>
            </w:tcBorders>
            <w:gridSpan w:val="3"/>
            <w:vMerge w:val="restart"/>
          </w:tcPr>
          <w:p>
            <w:pPr>
              <w:spacing w:after="0" w:line="178" w:lineRule="exact"/>
              <w:rPr>
                <w:sz w:val="20"/>
                <w:szCs w:val="20"/>
                <w:color w:val="auto"/>
              </w:rPr>
            </w:pPr>
            <w:r>
              <w:rPr>
                <w:rFonts w:ascii="Arial" w:cs="Arial" w:eastAsia="Arial" w:hAnsi="Arial"/>
                <w:sz w:val="17"/>
                <w:szCs w:val="17"/>
                <w:b w:val="1"/>
                <w:bCs w:val="1"/>
                <w:color w:val="auto"/>
              </w:rPr>
              <w:t>Liabilities and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2"/>
                <w:szCs w:val="12"/>
                <w:color w:val="auto"/>
              </w:rPr>
            </w:pPr>
          </w:p>
        </w:tc>
        <w:tc>
          <w:tcPr>
            <w:tcW w:w="78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6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8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Short-term borrowings</w:t>
            </w: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1,725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2,364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880" w:type="dxa"/>
            <w:vAlign w:val="bottom"/>
            <w:gridSpan w:val="3"/>
          </w:tcPr>
          <w:p>
            <w:pPr>
              <w:spacing w:after="0"/>
              <w:rPr>
                <w:sz w:val="20"/>
                <w:szCs w:val="20"/>
                <w:color w:val="auto"/>
              </w:rPr>
            </w:pPr>
            <w:r>
              <w:rPr>
                <w:rFonts w:ascii="Arial" w:cs="Arial" w:eastAsia="Arial" w:hAnsi="Arial"/>
                <w:sz w:val="17"/>
                <w:szCs w:val="17"/>
                <w:color w:val="auto"/>
              </w:rPr>
              <w:t>Accounts payable</w:t>
            </w:r>
          </w:p>
        </w:tc>
        <w:tc>
          <w:tcPr>
            <w:tcW w:w="220" w:type="dxa"/>
            <w:vAlign w:val="bottom"/>
          </w:tcPr>
          <w:p>
            <w:pPr>
              <w:spacing w:after="0"/>
              <w:rPr>
                <w:sz w:val="19"/>
                <w:szCs w:val="19"/>
                <w:color w:val="auto"/>
              </w:rPr>
            </w:pPr>
          </w:p>
        </w:tc>
        <w:tc>
          <w:tcPr>
            <w:tcW w:w="1400" w:type="dxa"/>
            <w:vAlign w:val="bottom"/>
          </w:tcPr>
          <w:p>
            <w:pPr>
              <w:jc w:val="right"/>
              <w:ind w:right="75"/>
              <w:spacing w:after="0"/>
              <w:rPr>
                <w:sz w:val="20"/>
                <w:szCs w:val="20"/>
                <w:color w:val="auto"/>
              </w:rPr>
            </w:pPr>
            <w:r>
              <w:rPr>
                <w:rFonts w:ascii="Arial" w:cs="Arial" w:eastAsia="Arial" w:hAnsi="Arial"/>
                <w:sz w:val="17"/>
                <w:szCs w:val="17"/>
                <w:color w:val="auto"/>
              </w:rPr>
              <w:t>10,976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75"/>
              <w:spacing w:after="0"/>
              <w:rPr>
                <w:sz w:val="20"/>
                <w:szCs w:val="20"/>
                <w:color w:val="auto"/>
              </w:rPr>
            </w:pPr>
            <w:r>
              <w:rPr>
                <w:rFonts w:ascii="Arial" w:cs="Arial" w:eastAsia="Arial" w:hAnsi="Arial"/>
                <w:sz w:val="17"/>
                <w:szCs w:val="17"/>
                <w:color w:val="auto"/>
              </w:rPr>
              <w:t>10,809</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8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Accrued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11,055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11,737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880" w:type="dxa"/>
            <w:vAlign w:val="bottom"/>
            <w:gridSpan w:val="3"/>
          </w:tcPr>
          <w:p>
            <w:pPr>
              <w:spacing w:after="0"/>
              <w:rPr>
                <w:sz w:val="20"/>
                <w:szCs w:val="20"/>
                <w:color w:val="auto"/>
              </w:rPr>
            </w:pPr>
            <w:r>
              <w:rPr>
                <w:rFonts w:ascii="Arial" w:cs="Arial" w:eastAsia="Arial" w:hAnsi="Arial"/>
                <w:sz w:val="17"/>
                <w:szCs w:val="17"/>
                <w:color w:val="auto"/>
              </w:rPr>
              <w:t>Contract liabilities, current</w:t>
            </w:r>
          </w:p>
        </w:tc>
        <w:tc>
          <w:tcPr>
            <w:tcW w:w="220" w:type="dxa"/>
            <w:vAlign w:val="bottom"/>
          </w:tcPr>
          <w:p>
            <w:pPr>
              <w:spacing w:after="0"/>
              <w:rPr>
                <w:sz w:val="19"/>
                <w:szCs w:val="19"/>
                <w:color w:val="auto"/>
              </w:rPr>
            </w:pPr>
          </w:p>
        </w:tc>
        <w:tc>
          <w:tcPr>
            <w:tcW w:w="1400" w:type="dxa"/>
            <w:vAlign w:val="bottom"/>
          </w:tcPr>
          <w:p>
            <w:pPr>
              <w:jc w:val="right"/>
              <w:ind w:right="75"/>
              <w:spacing w:after="0"/>
              <w:rPr>
                <w:sz w:val="20"/>
                <w:szCs w:val="20"/>
                <w:color w:val="auto"/>
              </w:rPr>
            </w:pPr>
            <w:r>
              <w:rPr>
                <w:rFonts w:ascii="Arial" w:cs="Arial" w:eastAsia="Arial" w:hAnsi="Arial"/>
                <w:sz w:val="17"/>
                <w:szCs w:val="17"/>
                <w:color w:val="auto"/>
              </w:rPr>
              <w:t>6,384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75"/>
              <w:spacing w:after="0"/>
              <w:rPr>
                <w:sz w:val="20"/>
                <w:szCs w:val="20"/>
                <w:color w:val="auto"/>
              </w:rPr>
            </w:pPr>
            <w:r>
              <w:rPr>
                <w:rFonts w:ascii="Arial" w:cs="Arial" w:eastAsia="Arial" w:hAnsi="Arial"/>
                <w:sz w:val="17"/>
                <w:szCs w:val="17"/>
                <w:color w:val="auto"/>
              </w:rPr>
              <w:t>6,180</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78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Long-term debt currently due</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1,362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3,496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20" w:type="dxa"/>
            <w:vAlign w:val="bottom"/>
            <w:gridSpan w:val="2"/>
          </w:tcPr>
          <w:p>
            <w:pPr>
              <w:ind w:left="180"/>
              <w:spacing w:after="0"/>
              <w:rPr>
                <w:sz w:val="20"/>
                <w:szCs w:val="20"/>
                <w:color w:val="auto"/>
              </w:rPr>
            </w:pPr>
            <w:r>
              <w:rPr>
                <w:rFonts w:ascii="Arial" w:cs="Arial" w:eastAsia="Arial" w:hAnsi="Arial"/>
                <w:sz w:val="17"/>
                <w:szCs w:val="17"/>
                <w:color w:val="auto"/>
              </w:rPr>
              <w:t>Total Current Liabilities</w:t>
            </w:r>
          </w:p>
        </w:tc>
        <w:tc>
          <w:tcPr>
            <w:tcW w:w="2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31,502</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34,586</w:t>
            </w:r>
          </w:p>
        </w:tc>
        <w:tc>
          <w:tcPr>
            <w:tcW w:w="0" w:type="dxa"/>
            <w:vAlign w:val="bottom"/>
          </w:tcPr>
          <w:p>
            <w:pPr>
              <w:spacing w:after="0"/>
              <w:rPr>
                <w:sz w:val="1"/>
                <w:szCs w:val="1"/>
                <w:color w:val="auto"/>
              </w:rPr>
            </w:pPr>
          </w:p>
        </w:tc>
      </w:tr>
      <w:tr>
        <w:trPr>
          <w:trHeight w:val="31"/>
        </w:trPr>
        <w:tc>
          <w:tcPr>
            <w:tcW w:w="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6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78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Long-term debt</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43,232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37,788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880" w:type="dxa"/>
            <w:vAlign w:val="bottom"/>
            <w:gridSpan w:val="3"/>
          </w:tcPr>
          <w:p>
            <w:pPr>
              <w:spacing w:after="0"/>
              <w:rPr>
                <w:sz w:val="20"/>
                <w:szCs w:val="20"/>
                <w:color w:val="auto"/>
              </w:rPr>
            </w:pPr>
            <w:r>
              <w:rPr>
                <w:rFonts w:ascii="Arial" w:cs="Arial" w:eastAsia="Arial" w:hAnsi="Arial"/>
                <w:sz w:val="17"/>
                <w:szCs w:val="17"/>
                <w:color w:val="auto"/>
              </w:rPr>
              <w:t>Future pension and postretirement benefit obligations</w:t>
            </w:r>
          </w:p>
        </w:tc>
        <w:tc>
          <w:tcPr>
            <w:tcW w:w="220" w:type="dxa"/>
            <w:vAlign w:val="bottom"/>
          </w:tcPr>
          <w:p>
            <w:pPr>
              <w:spacing w:after="0"/>
              <w:rPr>
                <w:sz w:val="19"/>
                <w:szCs w:val="19"/>
                <w:color w:val="auto"/>
              </w:rPr>
            </w:pPr>
          </w:p>
        </w:tc>
        <w:tc>
          <w:tcPr>
            <w:tcW w:w="1400" w:type="dxa"/>
            <w:vAlign w:val="bottom"/>
          </w:tcPr>
          <w:p>
            <w:pPr>
              <w:jc w:val="right"/>
              <w:ind w:right="75"/>
              <w:spacing w:after="0"/>
              <w:rPr>
                <w:sz w:val="20"/>
                <w:szCs w:val="20"/>
                <w:color w:val="auto"/>
              </w:rPr>
            </w:pPr>
            <w:r>
              <w:rPr>
                <w:rFonts w:ascii="Arial" w:cs="Arial" w:eastAsia="Arial" w:hAnsi="Arial"/>
                <w:sz w:val="17"/>
                <w:szCs w:val="17"/>
                <w:color w:val="auto"/>
              </w:rPr>
              <w:t>3,225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75"/>
              <w:spacing w:after="0"/>
              <w:rPr>
                <w:sz w:val="20"/>
                <w:szCs w:val="20"/>
                <w:color w:val="auto"/>
              </w:rPr>
            </w:pPr>
            <w:r>
              <w:rPr>
                <w:rFonts w:ascii="Arial" w:cs="Arial" w:eastAsia="Arial" w:hAnsi="Arial"/>
                <w:sz w:val="17"/>
                <w:szCs w:val="17"/>
                <w:color w:val="auto"/>
              </w:rPr>
              <w:t>3,502</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8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Operating lease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2,126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2,144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880" w:type="dxa"/>
            <w:vAlign w:val="bottom"/>
            <w:gridSpan w:val="3"/>
          </w:tcPr>
          <w:p>
            <w:pPr>
              <w:spacing w:after="0"/>
              <w:rPr>
                <w:sz w:val="20"/>
                <w:szCs w:val="20"/>
                <w:color w:val="auto"/>
              </w:rPr>
            </w:pPr>
            <w:r>
              <w:rPr>
                <w:rFonts w:ascii="Arial" w:cs="Arial" w:eastAsia="Arial" w:hAnsi="Arial"/>
                <w:sz w:val="17"/>
                <w:szCs w:val="17"/>
                <w:color w:val="auto"/>
              </w:rPr>
              <w:t>Contract liabilities, non-current</w:t>
            </w:r>
          </w:p>
        </w:tc>
        <w:tc>
          <w:tcPr>
            <w:tcW w:w="220" w:type="dxa"/>
            <w:vAlign w:val="bottom"/>
          </w:tcPr>
          <w:p>
            <w:pPr>
              <w:spacing w:after="0"/>
              <w:rPr>
                <w:sz w:val="19"/>
                <w:szCs w:val="19"/>
                <w:color w:val="auto"/>
              </w:rPr>
            </w:pPr>
          </w:p>
        </w:tc>
        <w:tc>
          <w:tcPr>
            <w:tcW w:w="1400" w:type="dxa"/>
            <w:vAlign w:val="bottom"/>
          </w:tcPr>
          <w:p>
            <w:pPr>
              <w:jc w:val="right"/>
              <w:ind w:right="75"/>
              <w:spacing w:after="0"/>
              <w:rPr>
                <w:sz w:val="20"/>
                <w:szCs w:val="20"/>
                <w:color w:val="auto"/>
              </w:rPr>
            </w:pPr>
            <w:r>
              <w:rPr>
                <w:rFonts w:ascii="Arial" w:cs="Arial" w:eastAsia="Arial" w:hAnsi="Arial"/>
                <w:sz w:val="17"/>
                <w:szCs w:val="17"/>
                <w:color w:val="auto"/>
              </w:rPr>
              <w:t>5,554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75"/>
              <w:spacing w:after="0"/>
              <w:rPr>
                <w:sz w:val="20"/>
                <w:szCs w:val="20"/>
                <w:color w:val="auto"/>
              </w:rPr>
            </w:pPr>
            <w:r>
              <w:rPr>
                <w:rFonts w:ascii="Arial" w:cs="Arial" w:eastAsia="Arial" w:hAnsi="Arial"/>
                <w:sz w:val="17"/>
                <w:szCs w:val="17"/>
                <w:color w:val="auto"/>
              </w:rPr>
              <w:t>5,732</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78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Other long-term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11,903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11,638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20" w:type="dxa"/>
            <w:vAlign w:val="bottom"/>
            <w:gridSpan w:val="2"/>
          </w:tcPr>
          <w:p>
            <w:pPr>
              <w:ind w:left="180"/>
              <w:spacing w:after="0"/>
              <w:rPr>
                <w:sz w:val="20"/>
                <w:szCs w:val="20"/>
                <w:color w:val="auto"/>
              </w:rPr>
            </w:pPr>
            <w:r>
              <w:rPr>
                <w:rFonts w:ascii="Arial" w:cs="Arial" w:eastAsia="Arial" w:hAnsi="Arial"/>
                <w:sz w:val="17"/>
                <w:szCs w:val="17"/>
                <w:color w:val="auto"/>
              </w:rPr>
              <w:t>Total Liabilities</w:t>
            </w:r>
          </w:p>
        </w:tc>
        <w:tc>
          <w:tcPr>
            <w:tcW w:w="2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97,542</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95,390</w:t>
            </w:r>
          </w:p>
        </w:tc>
        <w:tc>
          <w:tcPr>
            <w:tcW w:w="0" w:type="dxa"/>
            <w:vAlign w:val="bottom"/>
          </w:tcPr>
          <w:p>
            <w:pPr>
              <w:spacing w:after="0"/>
              <w:rPr>
                <w:sz w:val="1"/>
                <w:szCs w:val="1"/>
                <w:color w:val="auto"/>
              </w:rPr>
            </w:pPr>
          </w:p>
        </w:tc>
      </w:tr>
      <w:tr>
        <w:trPr>
          <w:trHeight w:val="31"/>
        </w:trPr>
        <w:tc>
          <w:tcPr>
            <w:tcW w:w="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6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78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Commitments and contingent liabilities (Note 16)</w:t>
            </w:r>
          </w:p>
        </w:tc>
        <w:tc>
          <w:tcPr>
            <w:tcW w:w="2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880" w:type="dxa"/>
            <w:vAlign w:val="bottom"/>
            <w:gridSpan w:val="3"/>
          </w:tcPr>
          <w:p>
            <w:pPr>
              <w:spacing w:after="0"/>
              <w:rPr>
                <w:sz w:val="20"/>
                <w:szCs w:val="20"/>
                <w:color w:val="auto"/>
              </w:rPr>
            </w:pPr>
            <w:r>
              <w:rPr>
                <w:rFonts w:ascii="Arial" w:cs="Arial" w:eastAsia="Arial" w:hAnsi="Arial"/>
                <w:sz w:val="17"/>
                <w:szCs w:val="17"/>
                <w:color w:val="auto"/>
              </w:rPr>
              <w:t>Redeemable noncontrolling interest</w:t>
            </w:r>
          </w:p>
        </w:tc>
        <w:tc>
          <w:tcPr>
            <w:tcW w:w="220" w:type="dxa"/>
            <w:vAlign w:val="bottom"/>
          </w:tcPr>
          <w:p>
            <w:pPr>
              <w:spacing w:after="0"/>
              <w:rPr>
                <w:sz w:val="19"/>
                <w:szCs w:val="19"/>
                <w:color w:val="auto"/>
              </w:rPr>
            </w:pPr>
          </w:p>
        </w:tc>
        <w:tc>
          <w:tcPr>
            <w:tcW w:w="1400" w:type="dxa"/>
            <w:vAlign w:val="bottom"/>
          </w:tcPr>
          <w:p>
            <w:pPr>
              <w:jc w:val="right"/>
              <w:ind w:right="75"/>
              <w:spacing w:after="0"/>
              <w:rPr>
                <w:sz w:val="20"/>
                <w:szCs w:val="20"/>
                <w:color w:val="auto"/>
              </w:rPr>
            </w:pPr>
            <w:r>
              <w:rPr>
                <w:rFonts w:ascii="Arial" w:cs="Arial" w:eastAsia="Arial" w:hAnsi="Arial"/>
                <w:sz w:val="17"/>
                <w:szCs w:val="17"/>
                <w:color w:val="auto"/>
              </w:rPr>
              <w:t>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75"/>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8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Shareowners' Equity:</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20" w:type="dxa"/>
            <w:vAlign w:val="bottom"/>
            <w:gridSpan w:val="2"/>
          </w:tcPr>
          <w:p>
            <w:pPr>
              <w:ind w:left="180"/>
              <w:spacing w:after="0"/>
              <w:rPr>
                <w:sz w:val="20"/>
                <w:szCs w:val="20"/>
                <w:color w:val="auto"/>
              </w:rPr>
            </w:pPr>
            <w:r>
              <w:rPr>
                <w:rFonts w:ascii="Arial" w:cs="Arial" w:eastAsia="Arial" w:hAnsi="Arial"/>
                <w:sz w:val="17"/>
                <w:szCs w:val="17"/>
                <w:color w:val="auto"/>
              </w:rPr>
              <w:t>Common Stock</w:t>
            </w:r>
          </w:p>
        </w:tc>
        <w:tc>
          <w:tcPr>
            <w:tcW w:w="220" w:type="dxa"/>
            <w:vAlign w:val="bottom"/>
          </w:tcPr>
          <w:p>
            <w:pPr>
              <w:spacing w:after="0"/>
              <w:rPr>
                <w:sz w:val="19"/>
                <w:szCs w:val="19"/>
                <w:color w:val="auto"/>
              </w:rPr>
            </w:pPr>
          </w:p>
        </w:tc>
        <w:tc>
          <w:tcPr>
            <w:tcW w:w="1400" w:type="dxa"/>
            <w:vAlign w:val="bottom"/>
          </w:tcPr>
          <w:p>
            <w:pPr>
              <w:jc w:val="right"/>
              <w:ind w:right="75"/>
              <w:spacing w:after="0"/>
              <w:rPr>
                <w:sz w:val="20"/>
                <w:szCs w:val="20"/>
                <w:color w:val="auto"/>
              </w:rPr>
            </w:pPr>
            <w:r>
              <w:rPr>
                <w:rFonts w:ascii="Arial" w:cs="Arial" w:eastAsia="Arial" w:hAnsi="Arial"/>
                <w:sz w:val="17"/>
                <w:szCs w:val="17"/>
                <w:color w:val="auto"/>
              </w:rPr>
              <w:t>23,099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75"/>
              <w:spacing w:after="0"/>
              <w:rPr>
                <w:sz w:val="20"/>
                <w:szCs w:val="20"/>
                <w:color w:val="auto"/>
              </w:rPr>
            </w:pPr>
            <w:r>
              <w:rPr>
                <w:rFonts w:ascii="Arial" w:cs="Arial" w:eastAsia="Arial" w:hAnsi="Arial"/>
                <w:sz w:val="17"/>
                <w:szCs w:val="17"/>
                <w:color w:val="auto"/>
              </w:rPr>
              <w:t>23,019</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Treasury Stock</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(32,665)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(32,626)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20" w:type="dxa"/>
            <w:vAlign w:val="bottom"/>
            <w:gridSpan w:val="2"/>
          </w:tcPr>
          <w:p>
            <w:pPr>
              <w:ind w:left="180"/>
              <w:spacing w:after="0"/>
              <w:rPr>
                <w:sz w:val="20"/>
                <w:szCs w:val="20"/>
                <w:color w:val="auto"/>
              </w:rPr>
            </w:pPr>
            <w:r>
              <w:rPr>
                <w:rFonts w:ascii="Arial" w:cs="Arial" w:eastAsia="Arial" w:hAnsi="Arial"/>
                <w:sz w:val="17"/>
                <w:szCs w:val="17"/>
                <w:color w:val="auto"/>
              </w:rPr>
              <w:t>Retained earnings</w:t>
            </w:r>
          </w:p>
        </w:tc>
        <w:tc>
          <w:tcPr>
            <w:tcW w:w="220" w:type="dxa"/>
            <w:vAlign w:val="bottom"/>
          </w:tcPr>
          <w:p>
            <w:pPr>
              <w:spacing w:after="0"/>
              <w:rPr>
                <w:sz w:val="19"/>
                <w:szCs w:val="19"/>
                <w:color w:val="auto"/>
              </w:rPr>
            </w:pPr>
          </w:p>
        </w:tc>
        <w:tc>
          <w:tcPr>
            <w:tcW w:w="1400" w:type="dxa"/>
            <w:vAlign w:val="bottom"/>
          </w:tcPr>
          <w:p>
            <w:pPr>
              <w:jc w:val="right"/>
              <w:ind w:right="75"/>
              <w:spacing w:after="0"/>
              <w:rPr>
                <w:sz w:val="20"/>
                <w:szCs w:val="20"/>
                <w:color w:val="auto"/>
              </w:rPr>
            </w:pPr>
            <w:r>
              <w:rPr>
                <w:rFonts w:ascii="Arial" w:cs="Arial" w:eastAsia="Arial" w:hAnsi="Arial"/>
                <w:sz w:val="17"/>
                <w:szCs w:val="17"/>
                <w:color w:val="auto"/>
              </w:rPr>
              <w:t>60,826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75"/>
              <w:spacing w:after="0"/>
              <w:rPr>
                <w:sz w:val="20"/>
                <w:szCs w:val="20"/>
                <w:color w:val="auto"/>
              </w:rPr>
            </w:pPr>
            <w:r>
              <w:rPr>
                <w:rFonts w:ascii="Arial" w:cs="Arial" w:eastAsia="Arial" w:hAnsi="Arial"/>
                <w:sz w:val="17"/>
                <w:szCs w:val="17"/>
                <w:color w:val="auto"/>
              </w:rPr>
              <w:t>61,594</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Unearned ESOP shares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20" w:type="dxa"/>
            <w:vAlign w:val="bottom"/>
            <w:gridSpan w:val="2"/>
          </w:tcPr>
          <w:p>
            <w:pPr>
              <w:ind w:left="180"/>
              <w:spacing w:after="0"/>
              <w:rPr>
                <w:sz w:val="20"/>
                <w:szCs w:val="20"/>
                <w:color w:val="auto"/>
              </w:rPr>
            </w:pPr>
            <w:r>
              <w:rPr>
                <w:rFonts w:ascii="Arial" w:cs="Arial" w:eastAsia="Arial" w:hAnsi="Arial"/>
                <w:sz w:val="17"/>
                <w:szCs w:val="17"/>
                <w:color w:val="auto"/>
              </w:rPr>
              <w:t>Accumulated other comprehensive loss</w:t>
            </w:r>
          </w:p>
        </w:tc>
        <w:tc>
          <w:tcPr>
            <w:tcW w:w="220" w:type="dxa"/>
            <w:vAlign w:val="bottom"/>
          </w:tcPr>
          <w:p>
            <w:pPr>
              <w:spacing w:after="0"/>
              <w:rPr>
                <w:sz w:val="19"/>
                <w:szCs w:val="19"/>
                <w:color w:val="auto"/>
              </w:rPr>
            </w:pPr>
          </w:p>
        </w:tc>
        <w:tc>
          <w:tcPr>
            <w:tcW w:w="1400" w:type="dxa"/>
            <w:vAlign w:val="bottom"/>
          </w:tcPr>
          <w:p>
            <w:pPr>
              <w:jc w:val="right"/>
              <w:ind w:right="35"/>
              <w:spacing w:after="0"/>
              <w:rPr>
                <w:sz w:val="20"/>
                <w:szCs w:val="20"/>
                <w:color w:val="auto"/>
              </w:rPr>
            </w:pPr>
            <w:r>
              <w:rPr>
                <w:rFonts w:ascii="Arial" w:cs="Arial" w:eastAsia="Arial" w:hAnsi="Arial"/>
                <w:sz w:val="17"/>
                <w:szCs w:val="17"/>
                <w:color w:val="auto"/>
              </w:rPr>
              <w:t>(11,788)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(10,149)</w:t>
            </w:r>
          </w:p>
        </w:tc>
        <w:tc>
          <w:tcPr>
            <w:tcW w:w="0" w:type="dxa"/>
            <w:vAlign w:val="bottom"/>
          </w:tcPr>
          <w:p>
            <w:pPr>
              <w:spacing w:after="0"/>
              <w:rPr>
                <w:sz w:val="1"/>
                <w:szCs w:val="1"/>
                <w:color w:val="auto"/>
              </w:rPr>
            </w:pPr>
          </w:p>
        </w:tc>
      </w:tr>
      <w:tr>
        <w:trPr>
          <w:trHeight w:val="31"/>
        </w:trPr>
        <w:tc>
          <w:tcPr>
            <w:tcW w:w="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6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74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7"/>
                <w:szCs w:val="17"/>
                <w:color w:val="auto"/>
              </w:rPr>
              <w:t>Total Shareowners' Equity</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39,411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41,774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880" w:type="dxa"/>
            <w:vAlign w:val="bottom"/>
            <w:gridSpan w:val="3"/>
          </w:tcPr>
          <w:p>
            <w:pPr>
              <w:spacing w:after="0"/>
              <w:rPr>
                <w:sz w:val="20"/>
                <w:szCs w:val="20"/>
                <w:color w:val="auto"/>
              </w:rPr>
            </w:pPr>
            <w:r>
              <w:rPr>
                <w:rFonts w:ascii="Arial" w:cs="Arial" w:eastAsia="Arial" w:hAnsi="Arial"/>
                <w:sz w:val="17"/>
                <w:szCs w:val="17"/>
                <w:color w:val="auto"/>
              </w:rPr>
              <w:t>Noncontrolling interest</w:t>
            </w:r>
          </w:p>
        </w:tc>
        <w:tc>
          <w:tcPr>
            <w:tcW w:w="220" w:type="dxa"/>
            <w:vAlign w:val="bottom"/>
          </w:tcPr>
          <w:p>
            <w:pPr>
              <w:spacing w:after="0"/>
              <w:rPr>
                <w:sz w:val="19"/>
                <w:szCs w:val="19"/>
                <w:color w:val="auto"/>
              </w:rPr>
            </w:pPr>
          </w:p>
        </w:tc>
        <w:tc>
          <w:tcPr>
            <w:tcW w:w="1400" w:type="dxa"/>
            <w:vAlign w:val="bottom"/>
          </w:tcPr>
          <w:p>
            <w:pPr>
              <w:jc w:val="right"/>
              <w:ind w:right="75"/>
              <w:spacing w:after="0"/>
              <w:rPr>
                <w:sz w:val="20"/>
                <w:szCs w:val="20"/>
                <w:color w:val="auto"/>
              </w:rPr>
            </w:pPr>
            <w:r>
              <w:rPr>
                <w:rFonts w:ascii="Arial" w:cs="Arial" w:eastAsia="Arial" w:hAnsi="Arial"/>
                <w:sz w:val="17"/>
                <w:szCs w:val="17"/>
                <w:color w:val="auto"/>
              </w:rPr>
              <w:t>2,524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75"/>
              <w:spacing w:after="0"/>
              <w:rPr>
                <w:sz w:val="20"/>
                <w:szCs w:val="20"/>
                <w:color w:val="auto"/>
              </w:rPr>
            </w:pPr>
            <w:r>
              <w:rPr>
                <w:rFonts w:ascii="Arial" w:cs="Arial" w:eastAsia="Arial" w:hAnsi="Arial"/>
                <w:sz w:val="17"/>
                <w:szCs w:val="17"/>
                <w:color w:val="auto"/>
              </w:rPr>
              <w:t>2,457</w:t>
            </w:r>
          </w:p>
        </w:tc>
        <w:tc>
          <w:tcPr>
            <w:tcW w:w="0" w:type="dxa"/>
            <w:vAlign w:val="bottom"/>
          </w:tcPr>
          <w:p>
            <w:pPr>
              <w:spacing w:after="0"/>
              <w:rPr>
                <w:sz w:val="1"/>
                <w:szCs w:val="1"/>
                <w:color w:val="auto"/>
              </w:rPr>
            </w:pPr>
          </w:p>
        </w:tc>
      </w:tr>
      <w:tr>
        <w:trPr>
          <w:trHeight w:val="31"/>
        </w:trPr>
        <w:tc>
          <w:tcPr>
            <w:tcW w:w="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6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Total Equity</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41,935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44,231</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880" w:type="dxa"/>
            <w:vAlign w:val="bottom"/>
            <w:gridSpan w:val="3"/>
          </w:tcPr>
          <w:p>
            <w:pPr>
              <w:ind w:left="320"/>
              <w:spacing w:after="0"/>
              <w:rPr>
                <w:sz w:val="20"/>
                <w:szCs w:val="20"/>
                <w:color w:val="auto"/>
              </w:rPr>
            </w:pPr>
            <w:r>
              <w:rPr>
                <w:rFonts w:ascii="Arial" w:cs="Arial" w:eastAsia="Arial" w:hAnsi="Arial"/>
                <w:sz w:val="17"/>
                <w:szCs w:val="17"/>
                <w:color w:val="auto"/>
              </w:rPr>
              <w:t>Total Liabilities and Equity</w:t>
            </w: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139,572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139,716</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RAYTHEON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4"/>
                <w:szCs w:val="14"/>
                <w:b w:val="1"/>
                <w:bCs w:val="1"/>
                <w:color w:val="auto"/>
              </w:rPr>
              <w:t>Quarter Ended March 31,</w:t>
            </w:r>
          </w:p>
        </w:tc>
      </w:tr>
      <w:tr>
        <w:trPr>
          <w:trHeight w:val="196"/>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2019</w:t>
            </w:r>
          </w:p>
        </w:tc>
      </w:tr>
      <w:tr>
        <w:trPr>
          <w:trHeight w:val="23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Net income from operations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1,425</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6"/>
              </w:rPr>
              <w:t>Adjustments to reconcile net income from operations to net cash flows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26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942</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Deferred income tax provision</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w:t>
            </w:r>
          </w:p>
        </w:tc>
      </w:tr>
      <w:tr>
        <w:trPr>
          <w:trHeight w:val="243"/>
        </w:trPr>
        <w:tc>
          <w:tcPr>
            <w:tcW w:w="8260" w:type="dxa"/>
            <w:vAlign w:val="bottom"/>
          </w:tcPr>
          <w:p>
            <w:pPr>
              <w:ind w:left="860"/>
              <w:spacing w:after="0"/>
              <w:rPr>
                <w:sz w:val="20"/>
                <w:szCs w:val="20"/>
                <w:color w:val="auto"/>
              </w:rPr>
            </w:pPr>
            <w:r>
              <w:rPr>
                <w:rFonts w:ascii="Arial" w:cs="Arial" w:eastAsia="Arial" w:hAnsi="Arial"/>
                <w:sz w:val="18"/>
                <w:szCs w:val="18"/>
                <w:color w:val="auto"/>
              </w:rPr>
              <w:t>Stock compensation cost</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64</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Net periodic pension and other postretirement benefit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r>
      <w:tr>
        <w:trPr>
          <w:trHeight w:val="243"/>
        </w:trPr>
        <w:tc>
          <w:tcPr>
            <w:tcW w:w="8260" w:type="dxa"/>
            <w:vAlign w:val="bottom"/>
          </w:tcPr>
          <w:p>
            <w:pPr>
              <w:ind w:left="660"/>
              <w:spacing w:after="0"/>
              <w:rPr>
                <w:sz w:val="20"/>
                <w:szCs w:val="20"/>
                <w:color w:val="auto"/>
              </w:rPr>
            </w:pPr>
            <w:r>
              <w:rPr>
                <w:rFonts w:ascii="Arial" w:cs="Arial" w:eastAsia="Arial" w:hAnsi="Arial"/>
                <w:sz w:val="18"/>
                <w:szCs w:val="18"/>
                <w:color w:val="auto"/>
              </w:rPr>
              <w:t>Change in:</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849</w:t>
            </w:r>
          </w:p>
        </w:tc>
      </w:tr>
      <w:tr>
        <w:trPr>
          <w:trHeight w:val="243"/>
        </w:trPr>
        <w:tc>
          <w:tcPr>
            <w:tcW w:w="8260" w:type="dxa"/>
            <w:vAlign w:val="bottom"/>
          </w:tcPr>
          <w:p>
            <w:pPr>
              <w:ind w:left="860"/>
              <w:spacing w:after="0"/>
              <w:rPr>
                <w:sz w:val="20"/>
                <w:szCs w:val="20"/>
                <w:color w:val="auto"/>
              </w:rPr>
            </w:pPr>
            <w:r>
              <w:rPr>
                <w:rFonts w:ascii="Arial" w:cs="Arial" w:eastAsia="Arial" w:hAnsi="Arial"/>
                <w:sz w:val="18"/>
                <w:szCs w:val="18"/>
                <w:color w:val="auto"/>
              </w:rPr>
              <w:t>Contract assets, current</w:t>
            </w: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(215)</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Inventory</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(697)</w:t>
            </w:r>
          </w:p>
        </w:tc>
      </w:tr>
      <w:tr>
        <w:trPr>
          <w:trHeight w:val="243"/>
        </w:trPr>
        <w:tc>
          <w:tcPr>
            <w:tcW w:w="8260" w:type="dxa"/>
            <w:vAlign w:val="bottom"/>
          </w:tcPr>
          <w:p>
            <w:pPr>
              <w:ind w:left="86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(165)</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Accounts payable and accrued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(588)</w:t>
            </w:r>
          </w:p>
        </w:tc>
      </w:tr>
      <w:tr>
        <w:trPr>
          <w:trHeight w:val="243"/>
        </w:trPr>
        <w:tc>
          <w:tcPr>
            <w:tcW w:w="8260" w:type="dxa"/>
            <w:vAlign w:val="bottom"/>
          </w:tcPr>
          <w:p>
            <w:pPr>
              <w:ind w:left="860"/>
              <w:spacing w:after="0"/>
              <w:rPr>
                <w:sz w:val="20"/>
                <w:szCs w:val="20"/>
                <w:color w:val="auto"/>
              </w:rPr>
            </w:pPr>
            <w:r>
              <w:rPr>
                <w:rFonts w:ascii="Arial" w:cs="Arial" w:eastAsia="Arial" w:hAnsi="Arial"/>
                <w:sz w:val="18"/>
                <w:szCs w:val="18"/>
                <w:color w:val="auto"/>
              </w:rPr>
              <w:t>Contract liabilities, current</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371</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Global pension contributions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Canadian government settlement</w:t>
            </w:r>
          </w:p>
        </w:tc>
        <w:tc>
          <w:tcPr>
            <w:tcW w:w="34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operating activities, net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r>
      <w:tr>
        <w:trPr>
          <w:trHeight w:val="237"/>
        </w:trPr>
        <w:tc>
          <w:tcPr>
            <w:tcW w:w="8260" w:type="dxa"/>
            <w:vAlign w:val="bottom"/>
          </w:tcPr>
          <w:p>
            <w:pPr>
              <w:ind w:left="660"/>
              <w:spacing w:after="0"/>
              <w:rPr>
                <w:sz w:val="20"/>
                <w:szCs w:val="20"/>
                <w:color w:val="auto"/>
              </w:rPr>
            </w:pPr>
            <w:r>
              <w:rPr>
                <w:rFonts w:ascii="Arial" w:cs="Arial" w:eastAsia="Arial" w:hAnsi="Arial"/>
                <w:sz w:val="18"/>
                <w:szCs w:val="18"/>
                <w:color w:val="auto"/>
              </w:rPr>
              <w:t>Net cash flows provided by operating activities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1,500</w:t>
            </w:r>
          </w:p>
        </w:tc>
      </w:tr>
      <w:tr>
        <w:trPr>
          <w:trHeight w:val="27"/>
        </w:trPr>
        <w:tc>
          <w:tcPr>
            <w:tcW w:w="8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(363)</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Investments in businesses (Note 1)</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Dispositions of businesses (Note 1)</w:t>
            </w:r>
          </w:p>
        </w:tc>
        <w:tc>
          <w:tcPr>
            <w:tcW w:w="34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133</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Increase in customer financing assets, net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w:t>
            </w: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Increase in collaboration intangible assets</w:t>
            </w: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(87)</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(Payments) receipts from settlements of derivative contracts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92</w:t>
            </w: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Other investing activities, net</w:t>
            </w: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23</w:t>
            </w:r>
          </w:p>
        </w:tc>
      </w:tr>
      <w:tr>
        <w:trPr>
          <w:trHeight w:val="27"/>
        </w:trPr>
        <w:tc>
          <w:tcPr>
            <w:tcW w:w="8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82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cash flows used in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Issuance of 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17,207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w:t>
            </w: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Repayment of long-term debt</w:t>
            </w: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(13,836)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Debt extinguishment costs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Decrease in short-term borrowings, net</w:t>
            </w: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(349)</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Proceeds from Common Stock issued under employee stock plans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Dividends paid on Common Stock</w:t>
            </w: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(609)</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Repurchase of Common Stock</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Other financing activities, net</w:t>
            </w: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(101)</w:t>
            </w:r>
          </w:p>
        </w:tc>
      </w:tr>
      <w:tr>
        <w:trPr>
          <w:trHeight w:val="27"/>
        </w:trPr>
        <w:tc>
          <w:tcPr>
            <w:tcW w:w="8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2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cash flows provided by (used in)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1,362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(1,077)</w:t>
            </w:r>
          </w:p>
        </w:tc>
      </w:tr>
      <w:tr>
        <w:trPr>
          <w:trHeight w:val="236"/>
        </w:trPr>
        <w:tc>
          <w:tcPr>
            <w:tcW w:w="8260" w:type="dxa"/>
            <w:vAlign w:val="bottom"/>
          </w:tcPr>
          <w:p>
            <w:pPr>
              <w:ind w:left="2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41</w:t>
            </w:r>
          </w:p>
        </w:tc>
      </w:tr>
      <w:tr>
        <w:trPr>
          <w:trHeight w:val="27"/>
        </w:trPr>
        <w:tc>
          <w:tcPr>
            <w:tcW w:w="8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82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increase in cash, cash equivalents and restricted cash</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beginning of year</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7,420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6,212</w:t>
            </w:r>
          </w:p>
        </w:tc>
      </w:tr>
      <w:tr>
        <w:trPr>
          <w:trHeight w:val="27"/>
        </w:trPr>
        <w:tc>
          <w:tcPr>
            <w:tcW w:w="8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8,066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6,282</w:t>
            </w: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Less: Restricted cash</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42</w:t>
            </w:r>
          </w:p>
        </w:tc>
      </w:tr>
      <w:tr>
        <w:trPr>
          <w:trHeight w:val="27"/>
        </w:trPr>
        <w:tc>
          <w:tcPr>
            <w:tcW w:w="8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8,001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6,240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ectPr>
          <w:pgSz w:w="11900" w:h="16838" w:orient="portrait"/>
          <w:cols w:equalWidth="0" w:num="1">
            <w:col w:w="11240"/>
          </w:cols>
          <w:pgMar w:left="320" w:top="121" w:right="339" w:bottom="9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906" w:gutter="0" w:footer="0" w:header="0"/>
          <w:type w:val="continuous"/>
        </w:sectPr>
      </w:pPr>
    </w:p>
    <w:bookmarkStart w:id="8" w:name="page9"/>
    <w:bookmarkEnd w:id="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RAYTHEON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535"/>
              <w:spacing w:after="0"/>
              <w:rPr>
                <w:sz w:val="20"/>
                <w:szCs w:val="20"/>
                <w:color w:val="auto"/>
              </w:rPr>
            </w:pPr>
            <w:r>
              <w:rPr>
                <w:rFonts w:ascii="Arial" w:cs="Arial" w:eastAsia="Arial" w:hAnsi="Arial"/>
                <w:sz w:val="14"/>
                <w:szCs w:val="14"/>
                <w:b w:val="1"/>
                <w:bCs w:val="1"/>
                <w:color w:val="auto"/>
              </w:rPr>
              <w:t>Quarter Ended March 31,</w:t>
            </w:r>
          </w:p>
        </w:tc>
      </w:tr>
      <w:tr>
        <w:trPr>
          <w:trHeight w:val="196"/>
        </w:trPr>
        <w:tc>
          <w:tcPr>
            <w:tcW w:w="83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i w:val="1"/>
                <w:iCs w:val="1"/>
                <w:color w:val="auto"/>
              </w:rPr>
              <w:t>(dollars in millions, except per share amounts; shares in thousands)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36"/>
        </w:trPr>
        <w:tc>
          <w:tcPr>
            <w:tcW w:w="8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Equity beginning balance</w:t>
            </w: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44,231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40,610</w:t>
            </w:r>
          </w:p>
        </w:tc>
      </w:tr>
      <w:tr>
        <w:trPr>
          <w:trHeight w:val="226"/>
        </w:trPr>
        <w:tc>
          <w:tcPr>
            <w:tcW w:w="8380" w:type="dxa"/>
            <w:vAlign w:val="bottom"/>
            <w:gridSpan w:val="2"/>
          </w:tcPr>
          <w:p>
            <w:pPr>
              <w:ind w:left="120"/>
              <w:spacing w:after="0"/>
              <w:rPr>
                <w:sz w:val="20"/>
                <w:szCs w:val="20"/>
                <w:color w:val="auto"/>
              </w:rPr>
            </w:pPr>
            <w:r>
              <w:rPr>
                <w:rFonts w:ascii="Arial" w:cs="Arial" w:eastAsia="Arial" w:hAnsi="Arial"/>
                <w:sz w:val="17"/>
                <w:szCs w:val="17"/>
                <w:b w:val="1"/>
                <w:bCs w:val="1"/>
                <w:color w:val="auto"/>
              </w:rPr>
              <w:t>Common Stock</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1"/>
        </w:trPr>
        <w:tc>
          <w:tcPr>
            <w:tcW w:w="8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6"/>
        </w:trPr>
        <w:tc>
          <w:tcPr>
            <w:tcW w:w="8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Beginning balance</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23,019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22,514</w:t>
            </w:r>
          </w:p>
        </w:tc>
      </w:tr>
      <w:tr>
        <w:trPr>
          <w:trHeight w:val="226"/>
        </w:trPr>
        <w:tc>
          <w:tcPr>
            <w:tcW w:w="8380" w:type="dxa"/>
            <w:vAlign w:val="bottom"/>
            <w:gridSpan w:val="2"/>
          </w:tcPr>
          <w:p>
            <w:pPr>
              <w:ind w:left="220"/>
              <w:spacing w:after="0"/>
              <w:rPr>
                <w:sz w:val="20"/>
                <w:szCs w:val="20"/>
                <w:color w:val="auto"/>
              </w:rPr>
            </w:pPr>
            <w:r>
              <w:rPr>
                <w:rFonts w:ascii="Arial" w:cs="Arial" w:eastAsia="Arial" w:hAnsi="Arial"/>
                <w:sz w:val="17"/>
                <w:szCs w:val="17"/>
                <w:color w:val="auto"/>
              </w:rPr>
              <w:t>Common Stock issued under employee plans</w:t>
            </w:r>
          </w:p>
        </w:tc>
        <w:tc>
          <w:tcPr>
            <w:tcW w:w="300" w:type="dxa"/>
            <w:vAlign w:val="bottom"/>
          </w:tcPr>
          <w:p>
            <w:pPr>
              <w:spacing w:after="0"/>
              <w:rPr>
                <w:sz w:val="19"/>
                <w:szCs w:val="19"/>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color w:val="auto"/>
              </w:rPr>
              <w:t>81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75"/>
              <w:spacing w:after="0"/>
              <w:rPr>
                <w:sz w:val="20"/>
                <w:szCs w:val="20"/>
                <w:color w:val="auto"/>
              </w:rPr>
            </w:pPr>
            <w:r>
              <w:rPr>
                <w:rFonts w:ascii="Arial" w:cs="Arial" w:eastAsia="Arial" w:hAnsi="Arial"/>
                <w:sz w:val="17"/>
                <w:szCs w:val="17"/>
                <w:color w:val="auto"/>
              </w:rPr>
              <w:t>57</w:t>
            </w:r>
          </w:p>
        </w:tc>
      </w:tr>
      <w:tr>
        <w:trPr>
          <w:trHeight w:val="31"/>
        </w:trPr>
        <w:tc>
          <w:tcPr>
            <w:tcW w:w="8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3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Purchase of subsidiary shares from noncontrolling interest, net</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r>
      <w:tr>
        <w:trPr>
          <w:trHeight w:val="226"/>
        </w:trPr>
        <w:tc>
          <w:tcPr>
            <w:tcW w:w="8380" w:type="dxa"/>
            <w:vAlign w:val="bottom"/>
            <w:gridSpan w:val="2"/>
          </w:tcPr>
          <w:p>
            <w:pPr>
              <w:ind w:left="220"/>
              <w:spacing w:after="0"/>
              <w:rPr>
                <w:sz w:val="20"/>
                <w:szCs w:val="20"/>
                <w:color w:val="auto"/>
              </w:rPr>
            </w:pPr>
            <w:r>
              <w:rPr>
                <w:rFonts w:ascii="Arial" w:cs="Arial" w:eastAsia="Arial" w:hAnsi="Arial"/>
                <w:sz w:val="17"/>
                <w:szCs w:val="17"/>
                <w:color w:val="auto"/>
              </w:rPr>
              <w:t>Redeemable noncontrolling interest fair value adjustment</w:t>
            </w:r>
          </w:p>
        </w:tc>
        <w:tc>
          <w:tcPr>
            <w:tcW w:w="30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(7)</w:t>
            </w:r>
          </w:p>
        </w:tc>
      </w:tr>
      <w:tr>
        <w:trPr>
          <w:trHeight w:val="31"/>
        </w:trPr>
        <w:tc>
          <w:tcPr>
            <w:tcW w:w="8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8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Ending balance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23,099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22,564</w:t>
            </w:r>
          </w:p>
        </w:tc>
      </w:tr>
      <w:tr>
        <w:trPr>
          <w:trHeight w:val="219"/>
        </w:trPr>
        <w:tc>
          <w:tcPr>
            <w:tcW w:w="8240" w:type="dxa"/>
            <w:vAlign w:val="bottom"/>
            <w:tcBorders>
              <w:top w:val="single" w:sz="8" w:color="auto"/>
            </w:tcBorders>
          </w:tcPr>
          <w:p>
            <w:pPr>
              <w:ind w:left="120"/>
              <w:spacing w:after="0"/>
              <w:rPr>
                <w:sz w:val="20"/>
                <w:szCs w:val="20"/>
                <w:color w:val="auto"/>
              </w:rPr>
            </w:pPr>
            <w:r>
              <w:rPr>
                <w:rFonts w:ascii="Arial" w:cs="Arial" w:eastAsia="Arial" w:hAnsi="Arial"/>
                <w:sz w:val="17"/>
                <w:szCs w:val="17"/>
                <w:b w:val="1"/>
                <w:bCs w:val="1"/>
                <w:color w:val="auto"/>
              </w:rPr>
              <w:t>Treasury Stock</w:t>
            </w: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31"/>
        </w:trPr>
        <w:tc>
          <w:tcPr>
            <w:tcW w:w="8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Beginning balance</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(32,626)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(32,482)</w:t>
            </w:r>
          </w:p>
        </w:tc>
      </w:tr>
      <w:tr>
        <w:trPr>
          <w:trHeight w:val="225"/>
        </w:trPr>
        <w:tc>
          <w:tcPr>
            <w:tcW w:w="8380" w:type="dxa"/>
            <w:vAlign w:val="bottom"/>
            <w:gridSpan w:val="2"/>
          </w:tcPr>
          <w:p>
            <w:pPr>
              <w:ind w:left="220"/>
              <w:spacing w:after="0"/>
              <w:rPr>
                <w:sz w:val="20"/>
                <w:szCs w:val="20"/>
                <w:color w:val="auto"/>
              </w:rPr>
            </w:pPr>
            <w:r>
              <w:rPr>
                <w:rFonts w:ascii="Arial" w:cs="Arial" w:eastAsia="Arial" w:hAnsi="Arial"/>
                <w:sz w:val="17"/>
                <w:szCs w:val="17"/>
                <w:color w:val="auto"/>
              </w:rPr>
              <w:t>Common Stock issued under employee plans</w:t>
            </w:r>
          </w:p>
        </w:tc>
        <w:tc>
          <w:tcPr>
            <w:tcW w:w="300" w:type="dxa"/>
            <w:vAlign w:val="bottom"/>
          </w:tcPr>
          <w:p>
            <w:pPr>
              <w:spacing w:after="0"/>
              <w:rPr>
                <w:sz w:val="19"/>
                <w:szCs w:val="19"/>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75"/>
              <w:spacing w:after="0"/>
              <w:rPr>
                <w:sz w:val="20"/>
                <w:szCs w:val="20"/>
                <w:color w:val="auto"/>
              </w:rPr>
            </w:pPr>
            <w:r>
              <w:rPr>
                <w:rFonts w:ascii="Arial" w:cs="Arial" w:eastAsia="Arial" w:hAnsi="Arial"/>
                <w:sz w:val="17"/>
                <w:szCs w:val="17"/>
                <w:color w:val="auto"/>
              </w:rPr>
              <w:t>3</w:t>
            </w:r>
          </w:p>
        </w:tc>
      </w:tr>
      <w:tr>
        <w:trPr>
          <w:trHeight w:val="31"/>
        </w:trPr>
        <w:tc>
          <w:tcPr>
            <w:tcW w:w="8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7"/>
        </w:trPr>
        <w:tc>
          <w:tcPr>
            <w:tcW w:w="83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Common Stock repurchased</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w:t>
            </w:r>
          </w:p>
        </w:tc>
      </w:tr>
      <w:tr>
        <w:trPr>
          <w:trHeight w:val="219"/>
        </w:trPr>
        <w:tc>
          <w:tcPr>
            <w:tcW w:w="8240" w:type="dxa"/>
            <w:vAlign w:val="bottom"/>
            <w:tcBorders>
              <w:top w:val="single" w:sz="8" w:color="auto"/>
            </w:tcBorders>
          </w:tcPr>
          <w:p>
            <w:pPr>
              <w:ind w:left="120"/>
              <w:spacing w:after="0"/>
              <w:rPr>
                <w:sz w:val="20"/>
                <w:szCs w:val="20"/>
                <w:color w:val="auto"/>
              </w:rPr>
            </w:pPr>
            <w:r>
              <w:rPr>
                <w:rFonts w:ascii="Arial" w:cs="Arial" w:eastAsia="Arial" w:hAnsi="Arial"/>
                <w:sz w:val="17"/>
                <w:szCs w:val="17"/>
                <w:color w:val="auto"/>
              </w:rPr>
              <w:t>Ending balance</w:t>
            </w: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(32,665)</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(32,511)</w:t>
            </w:r>
          </w:p>
        </w:tc>
      </w:tr>
      <w:tr>
        <w:trPr>
          <w:trHeight w:val="31"/>
        </w:trPr>
        <w:tc>
          <w:tcPr>
            <w:tcW w:w="8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b w:val="1"/>
                <w:bCs w:val="1"/>
                <w:color w:val="auto"/>
              </w:rPr>
              <w:t>Retained Earnings</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26"/>
        </w:trPr>
        <w:tc>
          <w:tcPr>
            <w:tcW w:w="8380" w:type="dxa"/>
            <w:vAlign w:val="bottom"/>
            <w:gridSpan w:val="2"/>
          </w:tcPr>
          <w:p>
            <w:pPr>
              <w:ind w:left="120"/>
              <w:spacing w:after="0"/>
              <w:rPr>
                <w:sz w:val="20"/>
                <w:szCs w:val="20"/>
                <w:color w:val="auto"/>
              </w:rPr>
            </w:pPr>
            <w:r>
              <w:rPr>
                <w:rFonts w:ascii="Arial" w:cs="Arial" w:eastAsia="Arial" w:hAnsi="Arial"/>
                <w:sz w:val="17"/>
                <w:szCs w:val="17"/>
                <w:color w:val="auto"/>
              </w:rPr>
              <w:t>Beginning balance</w:t>
            </w:r>
          </w:p>
        </w:tc>
        <w:tc>
          <w:tcPr>
            <w:tcW w:w="300" w:type="dxa"/>
            <w:vAlign w:val="bottom"/>
          </w:tcPr>
          <w:p>
            <w:pPr>
              <w:spacing w:after="0"/>
              <w:rPr>
                <w:sz w:val="19"/>
                <w:szCs w:val="19"/>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color w:val="auto"/>
              </w:rPr>
              <w:t>61,594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75"/>
              <w:spacing w:after="0"/>
              <w:rPr>
                <w:sz w:val="20"/>
                <w:szCs w:val="20"/>
                <w:color w:val="auto"/>
              </w:rPr>
            </w:pPr>
            <w:r>
              <w:rPr>
                <w:rFonts w:ascii="Arial" w:cs="Arial" w:eastAsia="Arial" w:hAnsi="Arial"/>
                <w:sz w:val="17"/>
                <w:szCs w:val="17"/>
                <w:color w:val="auto"/>
              </w:rPr>
              <w:t>57,823</w:t>
            </w:r>
          </w:p>
        </w:tc>
      </w:tr>
      <w:tr>
        <w:trPr>
          <w:trHeight w:val="31"/>
        </w:trPr>
        <w:tc>
          <w:tcPr>
            <w:tcW w:w="8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3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Net (loss) income</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1,346</w:t>
            </w:r>
          </w:p>
        </w:tc>
      </w:tr>
      <w:tr>
        <w:trPr>
          <w:trHeight w:val="225"/>
        </w:trPr>
        <w:tc>
          <w:tcPr>
            <w:tcW w:w="8380" w:type="dxa"/>
            <w:vAlign w:val="bottom"/>
            <w:gridSpan w:val="2"/>
          </w:tcPr>
          <w:p>
            <w:pPr>
              <w:ind w:left="220"/>
              <w:spacing w:after="0"/>
              <w:rPr>
                <w:sz w:val="20"/>
                <w:szCs w:val="20"/>
                <w:color w:val="auto"/>
              </w:rPr>
            </w:pPr>
            <w:r>
              <w:rPr>
                <w:rFonts w:ascii="Arial" w:cs="Arial" w:eastAsia="Arial" w:hAnsi="Arial"/>
                <w:sz w:val="17"/>
                <w:szCs w:val="17"/>
                <w:color w:val="auto"/>
              </w:rPr>
              <w:t>Dividends on Common Stock</w:t>
            </w:r>
          </w:p>
        </w:tc>
        <w:tc>
          <w:tcPr>
            <w:tcW w:w="300" w:type="dxa"/>
            <w:vAlign w:val="bottom"/>
          </w:tcPr>
          <w:p>
            <w:pPr>
              <w:spacing w:after="0"/>
              <w:rPr>
                <w:sz w:val="19"/>
                <w:szCs w:val="19"/>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(614)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(609)</w:t>
            </w:r>
          </w:p>
        </w:tc>
      </w:tr>
      <w:tr>
        <w:trPr>
          <w:trHeight w:val="31"/>
        </w:trPr>
        <w:tc>
          <w:tcPr>
            <w:tcW w:w="8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3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Dividends on ESOP Common Stock</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w:t>
            </w:r>
          </w:p>
        </w:tc>
      </w:tr>
      <w:tr>
        <w:trPr>
          <w:trHeight w:val="225"/>
        </w:trPr>
        <w:tc>
          <w:tcPr>
            <w:tcW w:w="8380" w:type="dxa"/>
            <w:vAlign w:val="bottom"/>
            <w:gridSpan w:val="2"/>
          </w:tcPr>
          <w:p>
            <w:pPr>
              <w:ind w:left="220"/>
              <w:spacing w:after="0"/>
              <w:rPr>
                <w:sz w:val="20"/>
                <w:szCs w:val="20"/>
                <w:color w:val="auto"/>
              </w:rPr>
            </w:pPr>
            <w:r>
              <w:rPr>
                <w:rFonts w:ascii="Arial" w:cs="Arial" w:eastAsia="Arial" w:hAnsi="Arial"/>
                <w:sz w:val="17"/>
                <w:szCs w:val="17"/>
                <w:color w:val="auto"/>
              </w:rPr>
              <w:t>Redeemable noncontrolling interest fair value adjustment</w:t>
            </w:r>
          </w:p>
        </w:tc>
        <w:tc>
          <w:tcPr>
            <w:tcW w:w="300" w:type="dxa"/>
            <w:vAlign w:val="bottom"/>
          </w:tcPr>
          <w:p>
            <w:pPr>
              <w:spacing w:after="0"/>
              <w:rPr>
                <w:sz w:val="19"/>
                <w:szCs w:val="19"/>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75"/>
              <w:spacing w:after="0"/>
              <w:rPr>
                <w:sz w:val="20"/>
                <w:szCs w:val="20"/>
                <w:color w:val="auto"/>
              </w:rPr>
            </w:pPr>
            <w:r>
              <w:rPr>
                <w:rFonts w:ascii="Arial" w:cs="Arial" w:eastAsia="Arial" w:hAnsi="Arial"/>
                <w:sz w:val="17"/>
                <w:szCs w:val="17"/>
                <w:color w:val="auto"/>
              </w:rPr>
              <w:t>4</w:t>
            </w:r>
          </w:p>
        </w:tc>
      </w:tr>
      <w:tr>
        <w:trPr>
          <w:trHeight w:val="31"/>
        </w:trPr>
        <w:tc>
          <w:tcPr>
            <w:tcW w:w="8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6"/>
        </w:trPr>
        <w:tc>
          <w:tcPr>
            <w:tcW w:w="83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ASU 2018-02 adoption impact (Note 13)</w:t>
            </w: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745</w:t>
            </w:r>
          </w:p>
        </w:tc>
      </w:tr>
      <w:tr>
        <w:trPr>
          <w:trHeight w:val="226"/>
        </w:trPr>
        <w:tc>
          <w:tcPr>
            <w:tcW w:w="8380" w:type="dxa"/>
            <w:vAlign w:val="bottom"/>
            <w:gridSpan w:val="2"/>
          </w:tcPr>
          <w:p>
            <w:pPr>
              <w:ind w:left="220"/>
              <w:spacing w:after="0"/>
              <w:rPr>
                <w:sz w:val="20"/>
                <w:szCs w:val="20"/>
                <w:color w:val="auto"/>
              </w:rPr>
            </w:pPr>
            <w:r>
              <w:rPr>
                <w:rFonts w:ascii="Arial" w:cs="Arial" w:eastAsia="Arial" w:hAnsi="Arial"/>
                <w:sz w:val="17"/>
                <w:szCs w:val="17"/>
                <w:color w:val="auto"/>
              </w:rPr>
              <w:t>Other, including the adoption impact of ASU 2016-13 (Note 19)</w:t>
            </w:r>
          </w:p>
        </w:tc>
        <w:tc>
          <w:tcPr>
            <w:tcW w:w="300" w:type="dxa"/>
            <w:vAlign w:val="bottom"/>
          </w:tcPr>
          <w:p>
            <w:pPr>
              <w:spacing w:after="0"/>
              <w:rPr>
                <w:sz w:val="19"/>
                <w:szCs w:val="19"/>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(55)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(12)</w:t>
            </w:r>
          </w:p>
        </w:tc>
      </w:tr>
      <w:tr>
        <w:trPr>
          <w:trHeight w:val="31"/>
        </w:trPr>
        <w:tc>
          <w:tcPr>
            <w:tcW w:w="8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8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Ending balance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60,826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59,279</w:t>
            </w:r>
          </w:p>
        </w:tc>
      </w:tr>
      <w:tr>
        <w:trPr>
          <w:trHeight w:val="219"/>
        </w:trPr>
        <w:tc>
          <w:tcPr>
            <w:tcW w:w="8240" w:type="dxa"/>
            <w:vAlign w:val="bottom"/>
            <w:tcBorders>
              <w:top w:val="single" w:sz="8" w:color="auto"/>
            </w:tcBorders>
          </w:tcPr>
          <w:p>
            <w:pPr>
              <w:ind w:left="120"/>
              <w:spacing w:after="0"/>
              <w:rPr>
                <w:sz w:val="20"/>
                <w:szCs w:val="20"/>
                <w:color w:val="auto"/>
              </w:rPr>
            </w:pPr>
            <w:r>
              <w:rPr>
                <w:rFonts w:ascii="Arial" w:cs="Arial" w:eastAsia="Arial" w:hAnsi="Arial"/>
                <w:sz w:val="17"/>
                <w:szCs w:val="17"/>
                <w:b w:val="1"/>
                <w:bCs w:val="1"/>
                <w:color w:val="auto"/>
              </w:rPr>
              <w:t>Unearned ESOP Shares</w:t>
            </w: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31"/>
        </w:trPr>
        <w:tc>
          <w:tcPr>
            <w:tcW w:w="8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6"/>
        </w:trPr>
        <w:tc>
          <w:tcPr>
            <w:tcW w:w="8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Beginning balance</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(76)</w:t>
            </w:r>
          </w:p>
        </w:tc>
      </w:tr>
      <w:tr>
        <w:trPr>
          <w:trHeight w:val="226"/>
        </w:trPr>
        <w:tc>
          <w:tcPr>
            <w:tcW w:w="8380" w:type="dxa"/>
            <w:vAlign w:val="bottom"/>
            <w:gridSpan w:val="2"/>
          </w:tcPr>
          <w:p>
            <w:pPr>
              <w:ind w:left="220"/>
              <w:spacing w:after="0"/>
              <w:rPr>
                <w:sz w:val="20"/>
                <w:szCs w:val="20"/>
                <w:color w:val="auto"/>
              </w:rPr>
            </w:pPr>
            <w:r>
              <w:rPr>
                <w:rFonts w:ascii="Arial" w:cs="Arial" w:eastAsia="Arial" w:hAnsi="Arial"/>
                <w:sz w:val="17"/>
                <w:szCs w:val="17"/>
                <w:color w:val="auto"/>
              </w:rPr>
              <w:t>Common Stock issued under employee plans</w:t>
            </w:r>
          </w:p>
        </w:tc>
        <w:tc>
          <w:tcPr>
            <w:tcW w:w="300" w:type="dxa"/>
            <w:vAlign w:val="bottom"/>
          </w:tcPr>
          <w:p>
            <w:pPr>
              <w:spacing w:after="0"/>
              <w:rPr>
                <w:sz w:val="19"/>
                <w:szCs w:val="19"/>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75"/>
              <w:spacing w:after="0"/>
              <w:rPr>
                <w:sz w:val="20"/>
                <w:szCs w:val="20"/>
                <w:color w:val="auto"/>
              </w:rPr>
            </w:pPr>
            <w:r>
              <w:rPr>
                <w:rFonts w:ascii="Arial" w:cs="Arial" w:eastAsia="Arial" w:hAnsi="Arial"/>
                <w:sz w:val="17"/>
                <w:szCs w:val="17"/>
                <w:color w:val="auto"/>
              </w:rPr>
              <w:t>1</w:t>
            </w:r>
          </w:p>
        </w:tc>
      </w:tr>
      <w:tr>
        <w:trPr>
          <w:trHeight w:val="31"/>
        </w:trPr>
        <w:tc>
          <w:tcPr>
            <w:tcW w:w="8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8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Ending balance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(75)</w:t>
            </w:r>
          </w:p>
        </w:tc>
      </w:tr>
      <w:tr>
        <w:trPr>
          <w:trHeight w:val="219"/>
        </w:trPr>
        <w:tc>
          <w:tcPr>
            <w:tcW w:w="8240" w:type="dxa"/>
            <w:vAlign w:val="bottom"/>
            <w:tcBorders>
              <w:top w:val="single" w:sz="8" w:color="auto"/>
            </w:tcBorders>
          </w:tcPr>
          <w:p>
            <w:pPr>
              <w:ind w:left="120"/>
              <w:spacing w:after="0"/>
              <w:rPr>
                <w:sz w:val="20"/>
                <w:szCs w:val="20"/>
                <w:color w:val="auto"/>
              </w:rPr>
            </w:pPr>
            <w:r>
              <w:rPr>
                <w:rFonts w:ascii="Arial" w:cs="Arial" w:eastAsia="Arial" w:hAnsi="Arial"/>
                <w:sz w:val="17"/>
                <w:szCs w:val="17"/>
                <w:b w:val="1"/>
                <w:bCs w:val="1"/>
                <w:color w:val="auto"/>
              </w:rPr>
              <w:t>Accumulated Other Comprehensive (Loss) Income</w:t>
            </w: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31"/>
        </w:trPr>
        <w:tc>
          <w:tcPr>
            <w:tcW w:w="8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6"/>
        </w:trPr>
        <w:tc>
          <w:tcPr>
            <w:tcW w:w="8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Beginning balance</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(10,149)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(9,333)</w:t>
            </w:r>
          </w:p>
        </w:tc>
      </w:tr>
      <w:tr>
        <w:trPr>
          <w:trHeight w:val="226"/>
        </w:trPr>
        <w:tc>
          <w:tcPr>
            <w:tcW w:w="8380" w:type="dxa"/>
            <w:vAlign w:val="bottom"/>
            <w:gridSpan w:val="2"/>
          </w:tcPr>
          <w:p>
            <w:pPr>
              <w:ind w:left="220"/>
              <w:spacing w:after="0"/>
              <w:rPr>
                <w:sz w:val="20"/>
                <w:szCs w:val="20"/>
                <w:color w:val="auto"/>
              </w:rPr>
            </w:pPr>
            <w:r>
              <w:rPr>
                <w:rFonts w:ascii="Arial" w:cs="Arial" w:eastAsia="Arial" w:hAnsi="Arial"/>
                <w:sz w:val="17"/>
                <w:szCs w:val="17"/>
                <w:color w:val="auto"/>
              </w:rPr>
              <w:t>Other comprehensive (loss) income, net of tax</w:t>
            </w:r>
          </w:p>
        </w:tc>
        <w:tc>
          <w:tcPr>
            <w:tcW w:w="300" w:type="dxa"/>
            <w:vAlign w:val="bottom"/>
          </w:tcPr>
          <w:p>
            <w:pPr>
              <w:spacing w:after="0"/>
              <w:rPr>
                <w:sz w:val="19"/>
                <w:szCs w:val="19"/>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(1,639)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75"/>
              <w:spacing w:after="0"/>
              <w:rPr>
                <w:sz w:val="20"/>
                <w:szCs w:val="20"/>
                <w:color w:val="auto"/>
              </w:rPr>
            </w:pPr>
            <w:r>
              <w:rPr>
                <w:rFonts w:ascii="Arial" w:cs="Arial" w:eastAsia="Arial" w:hAnsi="Arial"/>
                <w:sz w:val="17"/>
                <w:szCs w:val="17"/>
                <w:color w:val="auto"/>
              </w:rPr>
              <w:t>559</w:t>
            </w:r>
          </w:p>
        </w:tc>
      </w:tr>
      <w:tr>
        <w:trPr>
          <w:trHeight w:val="31"/>
        </w:trPr>
        <w:tc>
          <w:tcPr>
            <w:tcW w:w="8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7"/>
        </w:trPr>
        <w:tc>
          <w:tcPr>
            <w:tcW w:w="83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ASU 2018-02 adoption impact (Note 13)</w:t>
            </w:r>
          </w:p>
        </w:tc>
        <w:tc>
          <w:tcPr>
            <w:tcW w:w="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(745)</w:t>
            </w:r>
          </w:p>
        </w:tc>
      </w:tr>
      <w:tr>
        <w:trPr>
          <w:trHeight w:val="219"/>
        </w:trPr>
        <w:tc>
          <w:tcPr>
            <w:tcW w:w="8240" w:type="dxa"/>
            <w:vAlign w:val="bottom"/>
            <w:tcBorders>
              <w:top w:val="single" w:sz="8" w:color="auto"/>
            </w:tcBorders>
          </w:tcPr>
          <w:p>
            <w:pPr>
              <w:ind w:left="120"/>
              <w:spacing w:after="0"/>
              <w:rPr>
                <w:sz w:val="20"/>
                <w:szCs w:val="20"/>
                <w:color w:val="auto"/>
              </w:rPr>
            </w:pPr>
            <w:r>
              <w:rPr>
                <w:rFonts w:ascii="Arial" w:cs="Arial" w:eastAsia="Arial" w:hAnsi="Arial"/>
                <w:sz w:val="17"/>
                <w:szCs w:val="17"/>
                <w:color w:val="auto"/>
              </w:rPr>
              <w:t>Ending balance</w:t>
            </w: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(11,788)</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(9,519)</w:t>
            </w:r>
          </w:p>
        </w:tc>
      </w:tr>
      <w:tr>
        <w:trPr>
          <w:trHeight w:val="31"/>
        </w:trPr>
        <w:tc>
          <w:tcPr>
            <w:tcW w:w="8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b w:val="1"/>
                <w:bCs w:val="1"/>
                <w:color w:val="auto"/>
              </w:rPr>
              <w:t>Noncontrolling Interest</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26"/>
        </w:trPr>
        <w:tc>
          <w:tcPr>
            <w:tcW w:w="8380" w:type="dxa"/>
            <w:vAlign w:val="bottom"/>
            <w:gridSpan w:val="2"/>
          </w:tcPr>
          <w:p>
            <w:pPr>
              <w:ind w:left="120"/>
              <w:spacing w:after="0"/>
              <w:rPr>
                <w:sz w:val="20"/>
                <w:szCs w:val="20"/>
                <w:color w:val="auto"/>
              </w:rPr>
            </w:pPr>
            <w:r>
              <w:rPr>
                <w:rFonts w:ascii="Arial" w:cs="Arial" w:eastAsia="Arial" w:hAnsi="Arial"/>
                <w:sz w:val="17"/>
                <w:szCs w:val="17"/>
                <w:color w:val="auto"/>
              </w:rPr>
              <w:t>Beginning balance</w:t>
            </w:r>
          </w:p>
        </w:tc>
        <w:tc>
          <w:tcPr>
            <w:tcW w:w="300" w:type="dxa"/>
            <w:vAlign w:val="bottom"/>
          </w:tcPr>
          <w:p>
            <w:pPr>
              <w:spacing w:after="0"/>
              <w:rPr>
                <w:sz w:val="19"/>
                <w:szCs w:val="19"/>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color w:val="auto"/>
              </w:rPr>
              <w:t>2,457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75"/>
              <w:spacing w:after="0"/>
              <w:rPr>
                <w:sz w:val="20"/>
                <w:szCs w:val="20"/>
                <w:color w:val="auto"/>
              </w:rPr>
            </w:pPr>
            <w:r>
              <w:rPr>
                <w:rFonts w:ascii="Arial" w:cs="Arial" w:eastAsia="Arial" w:hAnsi="Arial"/>
                <w:sz w:val="17"/>
                <w:szCs w:val="17"/>
                <w:color w:val="auto"/>
              </w:rPr>
              <w:t>2,164</w:t>
            </w:r>
          </w:p>
        </w:tc>
      </w:tr>
      <w:tr>
        <w:trPr>
          <w:trHeight w:val="31"/>
        </w:trPr>
        <w:tc>
          <w:tcPr>
            <w:tcW w:w="8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3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Net Income</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97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79</w:t>
            </w:r>
          </w:p>
        </w:tc>
      </w:tr>
      <w:tr>
        <w:trPr>
          <w:trHeight w:val="225"/>
        </w:trPr>
        <w:tc>
          <w:tcPr>
            <w:tcW w:w="8380" w:type="dxa"/>
            <w:vAlign w:val="bottom"/>
            <w:gridSpan w:val="2"/>
          </w:tcPr>
          <w:p>
            <w:pPr>
              <w:ind w:left="220"/>
              <w:spacing w:after="0"/>
              <w:rPr>
                <w:sz w:val="20"/>
                <w:szCs w:val="20"/>
                <w:color w:val="auto"/>
              </w:rPr>
            </w:pPr>
            <w:r>
              <w:rPr>
                <w:rFonts w:ascii="Arial" w:cs="Arial" w:eastAsia="Arial" w:hAnsi="Arial"/>
                <w:sz w:val="17"/>
                <w:szCs w:val="17"/>
                <w:color w:val="auto"/>
              </w:rPr>
              <w:t>Redeemable noncontrolling interest in subsidiaries' earnings</w:t>
            </w:r>
          </w:p>
        </w:tc>
        <w:tc>
          <w:tcPr>
            <w:tcW w:w="30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00" w:type="dxa"/>
            <w:vAlign w:val="bottom"/>
          </w:tcPr>
          <w:p>
            <w:pPr>
              <w:jc w:val="right"/>
              <w:ind w:right="75"/>
              <w:spacing w:after="0"/>
              <w:rPr>
                <w:sz w:val="20"/>
                <w:szCs w:val="20"/>
                <w:color w:val="auto"/>
              </w:rPr>
            </w:pPr>
            <w:r>
              <w:rPr>
                <w:rFonts w:ascii="Arial" w:cs="Arial" w:eastAsia="Arial" w:hAnsi="Arial"/>
                <w:sz w:val="17"/>
                <w:szCs w:val="17"/>
                <w:color w:val="auto"/>
              </w:rPr>
              <w:t>3</w:t>
            </w:r>
          </w:p>
        </w:tc>
      </w:tr>
      <w:tr>
        <w:trPr>
          <w:trHeight w:val="31"/>
        </w:trPr>
        <w:tc>
          <w:tcPr>
            <w:tcW w:w="8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3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Other comprehensive (loss) income, net of tax</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w:t>
            </w:r>
          </w:p>
        </w:tc>
      </w:tr>
      <w:tr>
        <w:trPr>
          <w:trHeight w:val="225"/>
        </w:trPr>
        <w:tc>
          <w:tcPr>
            <w:tcW w:w="8380" w:type="dxa"/>
            <w:vAlign w:val="bottom"/>
            <w:gridSpan w:val="2"/>
          </w:tcPr>
          <w:p>
            <w:pPr>
              <w:ind w:left="220"/>
              <w:spacing w:after="0"/>
              <w:rPr>
                <w:sz w:val="20"/>
                <w:szCs w:val="20"/>
                <w:color w:val="auto"/>
              </w:rPr>
            </w:pPr>
            <w:r>
              <w:rPr>
                <w:rFonts w:ascii="Arial" w:cs="Arial" w:eastAsia="Arial" w:hAnsi="Arial"/>
                <w:sz w:val="17"/>
                <w:szCs w:val="17"/>
                <w:color w:val="auto"/>
              </w:rPr>
              <w:t>Dividends attributable to noncontrolling interest</w:t>
            </w:r>
          </w:p>
        </w:tc>
        <w:tc>
          <w:tcPr>
            <w:tcW w:w="300" w:type="dxa"/>
            <w:vAlign w:val="bottom"/>
          </w:tcPr>
          <w:p>
            <w:pPr>
              <w:spacing w:after="0"/>
              <w:rPr>
                <w:sz w:val="19"/>
                <w:szCs w:val="19"/>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(58)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(44)</w:t>
            </w:r>
          </w:p>
        </w:tc>
      </w:tr>
      <w:tr>
        <w:trPr>
          <w:trHeight w:val="31"/>
        </w:trPr>
        <w:tc>
          <w:tcPr>
            <w:tcW w:w="8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6"/>
        </w:trPr>
        <w:tc>
          <w:tcPr>
            <w:tcW w:w="83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Capital contributions</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r>
      <w:tr>
        <w:trPr>
          <w:trHeight w:val="226"/>
        </w:trPr>
        <w:tc>
          <w:tcPr>
            <w:tcW w:w="8380" w:type="dxa"/>
            <w:vAlign w:val="bottom"/>
            <w:gridSpan w:val="2"/>
          </w:tcPr>
          <w:p>
            <w:pPr>
              <w:ind w:left="220"/>
              <w:spacing w:after="0"/>
              <w:rPr>
                <w:sz w:val="20"/>
                <w:szCs w:val="20"/>
                <w:color w:val="auto"/>
              </w:rPr>
            </w:pPr>
            <w:r>
              <w:rPr>
                <w:rFonts w:ascii="Arial" w:cs="Arial" w:eastAsia="Arial" w:hAnsi="Arial"/>
                <w:sz w:val="17"/>
                <w:szCs w:val="17"/>
                <w:color w:val="auto"/>
              </w:rPr>
              <w:t>Other</w:t>
            </w:r>
          </w:p>
        </w:tc>
        <w:tc>
          <w:tcPr>
            <w:tcW w:w="30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00" w:type="dxa"/>
            <w:vAlign w:val="bottom"/>
          </w:tcPr>
          <w:p>
            <w:pPr>
              <w:jc w:val="right"/>
              <w:ind w:right="75"/>
              <w:spacing w:after="0"/>
              <w:rPr>
                <w:sz w:val="20"/>
                <w:szCs w:val="20"/>
                <w:color w:val="auto"/>
              </w:rPr>
            </w:pPr>
            <w:r>
              <w:rPr>
                <w:rFonts w:ascii="Arial" w:cs="Arial" w:eastAsia="Arial" w:hAnsi="Arial"/>
                <w:sz w:val="17"/>
                <w:szCs w:val="17"/>
                <w:color w:val="auto"/>
              </w:rPr>
              <w:t>3</w:t>
            </w:r>
          </w:p>
        </w:tc>
      </w:tr>
      <w:tr>
        <w:trPr>
          <w:trHeight w:val="31"/>
        </w:trPr>
        <w:tc>
          <w:tcPr>
            <w:tcW w:w="8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8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Ending balance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2,524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2,208</w:t>
            </w:r>
          </w:p>
        </w:tc>
      </w:tr>
      <w:tr>
        <w:trPr>
          <w:trHeight w:val="219"/>
        </w:trPr>
        <w:tc>
          <w:tcPr>
            <w:tcW w:w="824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Equity at March 31</w:t>
            </w:r>
          </w:p>
        </w:tc>
        <w:tc>
          <w:tcPr>
            <w:tcW w:w="140" w:type="dxa"/>
            <w:vAlign w:val="bottom"/>
          </w:tcPr>
          <w:p>
            <w:pPr>
              <w:spacing w:after="0"/>
              <w:rPr>
                <w:sz w:val="19"/>
                <w:szCs w:val="19"/>
                <w:color w:val="auto"/>
              </w:rPr>
            </w:pPr>
          </w:p>
        </w:tc>
        <w:tc>
          <w:tcPr>
            <w:tcW w:w="30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41,935</w:t>
            </w:r>
          </w:p>
        </w:tc>
        <w:tc>
          <w:tcPr>
            <w:tcW w:w="120" w:type="dxa"/>
            <w:vAlign w:val="bottom"/>
          </w:tcPr>
          <w:p>
            <w:pPr>
              <w:spacing w:after="0"/>
              <w:rPr>
                <w:sz w:val="19"/>
                <w:szCs w:val="19"/>
                <w:color w:val="auto"/>
              </w:rPr>
            </w:pPr>
          </w:p>
        </w:tc>
        <w:tc>
          <w:tcPr>
            <w:tcW w:w="34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41,946</w:t>
            </w:r>
          </w:p>
        </w:tc>
      </w:tr>
      <w:tr>
        <w:trPr>
          <w:trHeight w:val="31"/>
        </w:trPr>
        <w:tc>
          <w:tcPr>
            <w:tcW w:w="8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8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16"/>
        </w:trPr>
        <w:tc>
          <w:tcPr>
            <w:tcW w:w="8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r>
      <w:tr>
        <w:trPr>
          <w:trHeight w:val="225"/>
        </w:trPr>
        <w:tc>
          <w:tcPr>
            <w:tcW w:w="8380" w:type="dxa"/>
            <w:vAlign w:val="bottom"/>
            <w:gridSpan w:val="2"/>
          </w:tcPr>
          <w:p>
            <w:pPr>
              <w:ind w:left="20"/>
              <w:spacing w:after="0"/>
              <w:rPr>
                <w:sz w:val="20"/>
                <w:szCs w:val="20"/>
                <w:color w:val="auto"/>
              </w:rPr>
            </w:pPr>
            <w:r>
              <w:rPr>
                <w:rFonts w:ascii="Arial" w:cs="Arial" w:eastAsia="Arial" w:hAnsi="Arial"/>
                <w:sz w:val="17"/>
                <w:szCs w:val="17"/>
                <w:b w:val="1"/>
                <w:bCs w:val="1"/>
                <w:color w:val="auto"/>
              </w:rPr>
              <w:t>Supplemental share information</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1"/>
        </w:trPr>
        <w:tc>
          <w:tcPr>
            <w:tcW w:w="8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Shares of Common Stock issued under employee plans</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2,050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1,028</w:t>
            </w:r>
          </w:p>
        </w:tc>
      </w:tr>
      <w:tr>
        <w:trPr>
          <w:trHeight w:val="225"/>
        </w:trPr>
        <w:tc>
          <w:tcPr>
            <w:tcW w:w="8380" w:type="dxa"/>
            <w:vAlign w:val="bottom"/>
            <w:gridSpan w:val="2"/>
          </w:tcPr>
          <w:p>
            <w:pPr>
              <w:ind w:left="20"/>
              <w:spacing w:after="0"/>
              <w:rPr>
                <w:sz w:val="20"/>
                <w:szCs w:val="20"/>
                <w:color w:val="auto"/>
              </w:rPr>
            </w:pPr>
            <w:r>
              <w:rPr>
                <w:rFonts w:ascii="Arial" w:cs="Arial" w:eastAsia="Arial" w:hAnsi="Arial"/>
                <w:sz w:val="17"/>
                <w:szCs w:val="17"/>
                <w:color w:val="auto"/>
              </w:rPr>
              <w:t>Shares of Common Stock repurchased</w:t>
            </w:r>
          </w:p>
        </w:tc>
        <w:tc>
          <w:tcPr>
            <w:tcW w:w="300" w:type="dxa"/>
            <w:vAlign w:val="bottom"/>
          </w:tcPr>
          <w:p>
            <w:pPr>
              <w:spacing w:after="0"/>
              <w:rPr>
                <w:sz w:val="19"/>
                <w:szCs w:val="19"/>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color w:val="auto"/>
              </w:rPr>
              <w:t>330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75"/>
              <w:spacing w:after="0"/>
              <w:rPr>
                <w:sz w:val="20"/>
                <w:szCs w:val="20"/>
                <w:color w:val="auto"/>
              </w:rPr>
            </w:pPr>
            <w:r>
              <w:rPr>
                <w:rFonts w:ascii="Arial" w:cs="Arial" w:eastAsia="Arial" w:hAnsi="Arial"/>
                <w:sz w:val="17"/>
                <w:szCs w:val="17"/>
                <w:color w:val="auto"/>
              </w:rPr>
              <w:t>256</w:t>
            </w:r>
          </w:p>
        </w:tc>
      </w:tr>
      <w:tr>
        <w:trPr>
          <w:trHeight w:val="31"/>
        </w:trPr>
        <w:tc>
          <w:tcPr>
            <w:tcW w:w="8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5"/>
        </w:trPr>
        <w:tc>
          <w:tcPr>
            <w:tcW w:w="83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Dividends per share of Common Stock</w:t>
            </w: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0.735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0.735</w:t>
            </w:r>
          </w:p>
        </w:tc>
      </w:tr>
      <w:tr>
        <w:trPr>
          <w:trHeight w:val="31"/>
        </w:trPr>
        <w:tc>
          <w:tcPr>
            <w:tcW w:w="8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RAYTHEON TECHNOLOGIES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ind w:firstLine="567"/>
        <w:spacing w:after="0" w:line="254" w:lineRule="auto"/>
        <w:rPr>
          <w:sz w:val="20"/>
          <w:szCs w:val="20"/>
          <w:color w:val="auto"/>
        </w:rPr>
      </w:pPr>
      <w:r>
        <w:rPr>
          <w:rFonts w:ascii="Arial" w:cs="Arial" w:eastAsia="Arial" w:hAnsi="Arial"/>
          <w:sz w:val="18"/>
          <w:szCs w:val="18"/>
          <w:color w:val="auto"/>
        </w:rPr>
        <w:t>The Condensed Consolidated Financial Statements at March 31, 2020 and for the quarters ended March 31, 2020 and 2019 are unaudited, but in the opinion of management include all adjustments (consisting only of normal recurring adjustments) necessary for a fair statement of the results for the interim periods. The results reported in these Condensed Consolidated Financial Statements should not necessarily be taken as indicative of results that may be expected for the entire year in</w:t>
      </w:r>
    </w:p>
    <w:p>
      <w:pPr>
        <w:spacing w:after="0" w:line="2" w:lineRule="exact"/>
        <w:rPr>
          <w:sz w:val="20"/>
          <w:szCs w:val="20"/>
          <w:color w:val="auto"/>
        </w:rPr>
      </w:pPr>
    </w:p>
    <w:p>
      <w:pPr>
        <w:ind w:right="240"/>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particular, in light of the completion of the Separation Transactions, Distributions and Raytheon Merger (each defined below). The financial information included herein should be read in conjunction with the financial statements and notes in our Annual Report to Shareowners (2019 Annual Report) incorporated by reference in our Annual Report on </w:t>
      </w:r>
      <w:hyperlink r:id="rId18">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calendar year 2019 (2019 Form 10-K) and with our and Raytheon Company’s other filings with the U.S. Securities and Exchange Commission (“SEC”).</w:t>
      </w:r>
    </w:p>
    <w:p>
      <w:pPr>
        <w:spacing w:after="0" w:line="85" w:lineRule="exact"/>
        <w:rPr>
          <w:sz w:val="20"/>
          <w:szCs w:val="20"/>
          <w:color w:val="auto"/>
        </w:rPr>
      </w:pPr>
    </w:p>
    <w:p>
      <w:pPr>
        <w:ind w:right="20" w:firstLine="567"/>
        <w:spacing w:after="0" w:line="270" w:lineRule="auto"/>
        <w:rPr>
          <w:sz w:val="20"/>
          <w:szCs w:val="20"/>
          <w:color w:val="auto"/>
        </w:rPr>
      </w:pPr>
      <w:r>
        <w:rPr>
          <w:rFonts w:ascii="Arial" w:cs="Arial" w:eastAsia="Arial" w:hAnsi="Arial"/>
          <w:sz w:val="17"/>
          <w:szCs w:val="17"/>
          <w:i w:val="1"/>
          <w:iCs w:val="1"/>
          <w:color w:val="auto"/>
        </w:rPr>
        <w:t xml:space="preserve">Separation Transactions and Distributions. </w:t>
      </w:r>
      <w:r>
        <w:rPr>
          <w:rFonts w:ascii="Arial" w:cs="Arial" w:eastAsia="Arial" w:hAnsi="Arial"/>
          <w:sz w:val="17"/>
          <w:szCs w:val="17"/>
          <w:color w:val="auto"/>
        </w:rPr>
        <w:t>On April 2, 2020, United Technologies Corporation (“UTC”) (since renamed Raytheon Technologies</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 completed the previously announced separation of its business into three independent, publicly traded companies – UTC, Carrier Global Corporation (“Carrier”) and Otis Worldwide Corporation (“Otis”) (such separations, the “Separation Transactions”). UTC distributed all of the outstanding shares of Carrier common stock and all of the outstanding shares of Otis common stock to UTC shareowners who held shares of UTC common stock as of the close of business on March 19, 2020, the record date for the distributions (the “Distributions”). UTC distributed 866,158,910 and 433,079,455 shares of common stock of Carrier and Otis, respectively in the Distributions, each of which was effective at 12:01 a.m., Eastern Time, on April 3, 2020. The financial statements of Raytheon Technologies Corporation for the period ended and as of March 31, 2020 include the financial position and results of Otis and Carrier. However, with the completion of the Separation Transactions and the Distributions, the historical results of Otis and Carrier will be presented as discontinued operations in our second quarter financial statements.</w:t>
      </w:r>
    </w:p>
    <w:p>
      <w:pPr>
        <w:spacing w:after="0" w:line="19" w:lineRule="exact"/>
        <w:rPr>
          <w:sz w:val="20"/>
          <w:szCs w:val="20"/>
          <w:color w:val="auto"/>
        </w:rPr>
      </w:pPr>
    </w:p>
    <w:p>
      <w:pPr>
        <w:ind w:right="140" w:firstLine="567"/>
        <w:spacing w:after="0" w:line="305" w:lineRule="auto"/>
        <w:rPr>
          <w:sz w:val="20"/>
          <w:szCs w:val="20"/>
          <w:color w:val="auto"/>
        </w:rPr>
      </w:pPr>
      <w:r>
        <w:rPr>
          <w:rFonts w:ascii="Arial" w:cs="Arial" w:eastAsia="Arial" w:hAnsi="Arial"/>
          <w:sz w:val="16"/>
          <w:szCs w:val="16"/>
          <w:i w:val="1"/>
          <w:iCs w:val="1"/>
          <w:color w:val="auto"/>
        </w:rPr>
        <w:t xml:space="preserve">Raytheon Merger. </w:t>
      </w:r>
      <w:r>
        <w:rPr>
          <w:rFonts w:ascii="Arial" w:cs="Arial" w:eastAsia="Arial" w:hAnsi="Arial"/>
          <w:sz w:val="16"/>
          <w:szCs w:val="16"/>
          <w:color w:val="auto"/>
        </w:rPr>
        <w:t>On April 3, 2020, following the completion of the Separation Transactions and the Distributions, pursuant to an Agreement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Plan of Merger dated June 9, 2019, as amended, UTC and Raytheon Company ("Raytheon") completed their previously announced all-stock merger of equals transaction (the "Raytheon Merger"). Upon closing of the Raytheon Merger, UTC changed its name to “Raytheon Technologies Corporation”.</w:t>
      </w:r>
    </w:p>
    <w:p>
      <w:pPr>
        <w:spacing w:after="0" w:line="1" w:lineRule="exact"/>
        <w:rPr>
          <w:sz w:val="20"/>
          <w:szCs w:val="20"/>
          <w:color w:val="auto"/>
        </w:rPr>
      </w:pPr>
    </w:p>
    <w:p>
      <w:pPr>
        <w:ind w:right="280" w:firstLine="567"/>
        <w:spacing w:after="0" w:line="254" w:lineRule="auto"/>
        <w:rPr>
          <w:sz w:val="20"/>
          <w:szCs w:val="20"/>
          <w:color w:val="auto"/>
        </w:rPr>
      </w:pPr>
      <w:r>
        <w:rPr>
          <w:rFonts w:ascii="Arial" w:cs="Arial" w:eastAsia="Arial" w:hAnsi="Arial"/>
          <w:sz w:val="18"/>
          <w:szCs w:val="18"/>
          <w:color w:val="auto"/>
        </w:rPr>
        <w:t>Unless the context otherwise requires, the terms “we,” “our,” “us,” “the Company”, “Raytheon Technologies", and "RTC" mean United Technologies Corporation and its subsidiaries when referring to periods prior to the Raytheon Merger and to the combined company, Raytheon Technologies Corporation, when referring to periods after the Raytheon Merger. Unless the context otherwise requires, the terms "Raytheon Company," "Raytheon," or "RTN" mean Raytheon Company and its subsidiaries prior to the Raytheon merger. The financial statements of Raytheon Technologies Corporation for the period ended and as of March 31, 2020 include the financial position and results of Otis and Carrier and do not include the financial position or operations of Raytheon since the Separation Transactions, the Distributions and the Raytheon Merger occurred subsequent to the end of the reporting period.</w:t>
      </w:r>
    </w:p>
    <w:p>
      <w:pPr>
        <w:spacing w:after="0" w:line="33" w:lineRule="exact"/>
        <w:rPr>
          <w:sz w:val="20"/>
          <w:szCs w:val="20"/>
          <w:color w:val="auto"/>
        </w:rPr>
      </w:pPr>
    </w:p>
    <w:p>
      <w:pPr>
        <w:ind w:firstLine="567"/>
        <w:spacing w:after="0" w:line="254" w:lineRule="auto"/>
        <w:rPr>
          <w:sz w:val="20"/>
          <w:szCs w:val="20"/>
          <w:color w:val="auto"/>
        </w:rPr>
      </w:pPr>
      <w:r>
        <w:rPr>
          <w:rFonts w:ascii="Arial" w:cs="Arial" w:eastAsia="Arial" w:hAnsi="Arial"/>
          <w:sz w:val="18"/>
          <w:szCs w:val="18"/>
          <w:i w:val="1"/>
          <w:iCs w:val="1"/>
          <w:color w:val="auto"/>
        </w:rPr>
        <w:t xml:space="preserve">COVID-19 Pandemic. </w:t>
      </w:r>
      <w:r>
        <w:rPr>
          <w:rFonts w:ascii="Arial" w:cs="Arial" w:eastAsia="Arial" w:hAnsi="Arial"/>
          <w:sz w:val="18"/>
          <w:szCs w:val="18"/>
          <w:color w:val="auto"/>
        </w:rPr>
        <w:t>In March 2020, the coronavirus disease 2019 ("COVID-19") was declared a pandemic by the World Health Organization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 national emergency by the U.S. Government. The pandemic has negatively affected the U.S. and global economy, disrupted global supply chains and financial markets, and resulted in significant travel restrictions, including mandated facility closures and shelter-in-place orders in numerous jurisdictions around the world. Raytheon Technologies is taking all prudent measures to protect the health and safety of our employees, such as practicing social distancing, performing deep cleaning in all of our facilities, and enabling our employees to work from home where possible. We have also taken appropriate actions to help support our communities in addressing the challenges posed by the pandemic, including the production and donation of personal protective equipment.</w:t>
      </w:r>
    </w:p>
    <w:p>
      <w:pPr>
        <w:spacing w:after="0" w:line="33" w:lineRule="exact"/>
        <w:rPr>
          <w:sz w:val="20"/>
          <w:szCs w:val="20"/>
          <w:color w:val="auto"/>
        </w:rPr>
      </w:pPr>
    </w:p>
    <w:p>
      <w:pPr>
        <w:ind w:right="160" w:firstLine="567"/>
        <w:spacing w:after="0" w:line="295" w:lineRule="auto"/>
        <w:rPr>
          <w:sz w:val="20"/>
          <w:szCs w:val="20"/>
          <w:color w:val="auto"/>
        </w:rPr>
      </w:pPr>
      <w:r>
        <w:rPr>
          <w:rFonts w:ascii="Arial" w:cs="Arial" w:eastAsia="Arial" w:hAnsi="Arial"/>
          <w:sz w:val="16"/>
          <w:szCs w:val="16"/>
          <w:color w:val="auto"/>
        </w:rPr>
        <w:t>Our business, operations and the industries in which we operate have been significantly impacted by public and private sector policies and initiatives in the U.S. and worldwide to address the transmission of COVID-19, such as the imposition of travel restrictions and the adoption of remote working. We began to experience issues related to COVID-19 in the first quarter, primarily related to a limited number of facility closures, less than full staffing, and disruptions in supplier deliveries, most significantly in our Aerospace businesses. However, our customers continued to receive our products during the quarter and the outbreak did not have a significant impact on our operating results for the three months ended March 31, 2020.</w:t>
      </w:r>
    </w:p>
    <w:p>
      <w:pPr>
        <w:spacing w:after="0" w:line="3" w:lineRule="exact"/>
        <w:rPr>
          <w:sz w:val="20"/>
          <w:szCs w:val="20"/>
          <w:color w:val="auto"/>
        </w:rPr>
      </w:pPr>
    </w:p>
    <w:p>
      <w:pPr>
        <w:ind w:right="340" w:firstLine="567"/>
        <w:spacing w:after="0" w:line="259" w:lineRule="auto"/>
        <w:rPr>
          <w:sz w:val="20"/>
          <w:szCs w:val="20"/>
          <w:color w:val="auto"/>
        </w:rPr>
      </w:pPr>
      <w:r>
        <w:rPr>
          <w:rFonts w:ascii="Arial" w:cs="Arial" w:eastAsia="Arial" w:hAnsi="Arial"/>
          <w:sz w:val="18"/>
          <w:szCs w:val="18"/>
          <w:color w:val="auto"/>
        </w:rPr>
        <w:t>Subsequent to the quarter end, the continued disruption to air travel and commercial activities and the significant restrictions and limitations on businesses, particularly within the aerospace and commercial airlines industries, have negatively impacted global supply, demand and distribution capabilities. In particular, the significant decrease in air travel resulting from the COVID-19 pandemic is adversely affecting our airline and airframer customers, and their demand for the products and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services of our Aerospace businesses. As of April 14, 2020, the International Air Transport Association had estimated that RPMs for the year ended December 31, 2020 could decline by 48% in comparison to the prior year due to the pandemic. As a result, our airline customers have reported significant reductions in fleet utilization, aircraft grounding and unplanned retirements, and have deferred and, in some cases, cancelled new aircraft deliveries. Airlines are shifting to cash conservation behaviors such as deferring engine maintenance, requesting extended payment terms, deferring delivery of new aircraft and spare engines and requesting discounts on engine maintenance. Additionally, we are seeing purchase order declines in line with publically communicated aircraft production volumes as OEM customers delay and cancel orders. We continue to monitor these trends and are working closely with our customers. We are actively mitigating costs and adjusting production schedules to accommodate these declines in demand. We have also begun taking actions to preserve capital and protect the long-term needs of our businesses, including cutting discretionary spending, significantly reducing capital expenditures and research and development spend, deferring merit increases, freezing non-essential hiring, repositioning employees to defense work, and furloughing a large percentage of our employees. Thus far, while some of the actions have impacted the former Raytheon Company businesses, most of these actions have been taken at our Aerospace businesses. We’re monitoring the environment closely and are prepared to take further actions if necessary. However, given the significant reduction in air travel, increased numbers of planes temporarily grounded, and continued travel restrictions that have resulted from the pandemic, we expect our future operating results, particularly those of our Aerospace businesses to be significantly impacted starting in the second quarter of 2020.</w:t>
      </w:r>
    </w:p>
    <w:p>
      <w:pPr>
        <w:spacing w:after="0" w:line="24" w:lineRule="exact"/>
        <w:rPr>
          <w:sz w:val="20"/>
          <w:szCs w:val="20"/>
          <w:color w:val="auto"/>
        </w:rPr>
      </w:pPr>
    </w:p>
    <w:p>
      <w:pPr>
        <w:ind w:firstLine="567"/>
        <w:spacing w:after="0" w:line="272" w:lineRule="auto"/>
        <w:rPr>
          <w:sz w:val="20"/>
          <w:szCs w:val="20"/>
          <w:color w:val="auto"/>
        </w:rPr>
      </w:pPr>
      <w:r>
        <w:rPr>
          <w:rFonts w:ascii="Arial" w:cs="Arial" w:eastAsia="Arial" w:hAnsi="Arial"/>
          <w:sz w:val="17"/>
          <w:szCs w:val="17"/>
          <w:color w:val="auto"/>
        </w:rPr>
        <w:t>The financial impact of the COVID-19 pandemic cannot be reasonably estimated at this time as its impact depends on future developments, which are highly uncertain and cannot be predicted. While the long term outlook for the aerospace industry remains positive due the fundamental drivers of air travel demand, there is significant uncertainty with respect to when commercial air traffic levels will begin to recover, and whether and at what point capacity will return to and/or exceed pre-COVID-19 levels. Estimates of a return to pre-COVID-19 levels have generally fallen in the range of two or more years and are based on a wide-range of assumptions. New information may emerge concerning the scope, severity and duration of the COVID-19 pandemic, actions to contain its spread or treat its impact, and governmental, business and individuals’ actions taken in response to the pandemic (including restrictions and limitations on travel and transportation) among others.</w:t>
      </w:r>
    </w:p>
    <w:p>
      <w:pPr>
        <w:spacing w:after="0" w:line="15" w:lineRule="exact"/>
        <w:rPr>
          <w:sz w:val="20"/>
          <w:szCs w:val="20"/>
          <w:color w:val="auto"/>
        </w:rPr>
      </w:pPr>
    </w:p>
    <w:p>
      <w:pPr>
        <w:ind w:firstLine="567"/>
        <w:spacing w:after="0" w:line="299" w:lineRule="auto"/>
        <w:rPr>
          <w:sz w:val="20"/>
          <w:szCs w:val="20"/>
          <w:color w:val="auto"/>
        </w:rPr>
      </w:pPr>
      <w:r>
        <w:rPr>
          <w:rFonts w:ascii="Arial" w:cs="Arial" w:eastAsia="Arial" w:hAnsi="Arial"/>
          <w:sz w:val="16"/>
          <w:szCs w:val="16"/>
          <w:color w:val="auto"/>
        </w:rPr>
        <w:t>We considered the outbreak and subsequent impacts to be a trigger to reassess our goodwill and intangibles valuations as well as significant assumptions of future income from our underlying assets and potential changes in our liabilities. In order to evaluate the impact, we had to make forecast assumptions of future business activity that are subject to a wide range of uncertainties, including those noted above. Based upon the dynamic environment, we will continue to evaluate in future periods whether these assumptions continue to be reasonable and will update the forecasts as needed.</w:t>
      </w:r>
    </w:p>
    <w:p>
      <w:pPr>
        <w:spacing w:after="0" w:line="1" w:lineRule="exact"/>
        <w:rPr>
          <w:sz w:val="20"/>
          <w:szCs w:val="20"/>
          <w:color w:val="auto"/>
        </w:rPr>
      </w:pPr>
    </w:p>
    <w:p>
      <w:pPr>
        <w:ind w:right="40" w:firstLine="567"/>
        <w:spacing w:after="0" w:line="275" w:lineRule="auto"/>
        <w:rPr>
          <w:sz w:val="20"/>
          <w:szCs w:val="20"/>
          <w:color w:val="auto"/>
        </w:rPr>
      </w:pPr>
      <w:r>
        <w:rPr>
          <w:rFonts w:ascii="Arial" w:cs="Arial" w:eastAsia="Arial" w:hAnsi="Arial"/>
          <w:sz w:val="17"/>
          <w:szCs w:val="17"/>
          <w:color w:val="auto"/>
        </w:rPr>
        <w:t>Based upon our analysis, we have determined that none of our goodwill has been impaired as of March 31, 2020. However, the Company did record a total of $144 million in write-downs of assets in our aerospace businesses primarily related to the impairment of a trade name, increased estimated credit losses, and the impact of lower estimated future customer activity that reduced our assumptions of variable consideration and caused a write-off of manufacturing overhead in inventory in certain closed facilities. Given the uncertainty related to the severity and length of the pandemic, and its impact across the aerospace industry, we may be required to record additional charges or impairments in future periods.</w:t>
      </w:r>
    </w:p>
    <w:p>
      <w:pPr>
        <w:spacing w:after="0" w:line="14" w:lineRule="exact"/>
        <w:rPr>
          <w:sz w:val="20"/>
          <w:szCs w:val="20"/>
          <w:color w:val="auto"/>
        </w:rPr>
      </w:pPr>
    </w:p>
    <w:p>
      <w:pPr>
        <w:ind w:right="80" w:firstLine="567"/>
        <w:spacing w:after="0" w:line="257" w:lineRule="auto"/>
        <w:rPr>
          <w:sz w:val="20"/>
          <w:szCs w:val="20"/>
          <w:color w:val="auto"/>
        </w:rPr>
      </w:pPr>
      <w:r>
        <w:rPr>
          <w:rFonts w:ascii="Arial" w:cs="Arial" w:eastAsia="Arial" w:hAnsi="Arial"/>
          <w:sz w:val="18"/>
          <w:szCs w:val="18"/>
          <w:color w:val="auto"/>
        </w:rPr>
        <w:t>Although the impact of COVID 19 on our commercial businesses and markets will be significant, we currently believe we have sufficient liquidity to withstand the potential impacts of COVID-19. With the completion of the Separation Transactions, the Distributions and the Raytheon Merger, we have a balanced and diversified portfolio of both aerospace and defense businesses which we believe will help mitigate the impacts of the COVID-19 pandemic and future business cycles. The former Raytheon Company businesses have not experienced significant facility closures and are taking all prudent measures similar to those discussed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Acquisitions, Dispositions, Goodwill and Other Intangible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Business Acquisitions. </w:t>
      </w:r>
      <w:r>
        <w:rPr>
          <w:rFonts w:ascii="Arial" w:cs="Arial" w:eastAsia="Arial" w:hAnsi="Arial"/>
          <w:sz w:val="18"/>
          <w:szCs w:val="18"/>
          <w:color w:val="auto"/>
        </w:rPr>
        <w:t>During the quarter ended March 31, 2020, our investment in business acquisitions was $5 million.</w:t>
      </w:r>
    </w:p>
    <w:p>
      <w:pPr>
        <w:spacing w:after="0" w:line="121" w:lineRule="exact"/>
        <w:rPr>
          <w:sz w:val="20"/>
          <w:szCs w:val="20"/>
          <w:color w:val="auto"/>
        </w:rPr>
      </w:pPr>
    </w:p>
    <w:p>
      <w:pPr>
        <w:ind w:right="20" w:firstLine="350"/>
        <w:spacing w:after="0" w:line="273" w:lineRule="auto"/>
        <w:rPr>
          <w:sz w:val="20"/>
          <w:szCs w:val="20"/>
          <w:color w:val="auto"/>
        </w:rPr>
      </w:pPr>
      <w:r>
        <w:rPr>
          <w:rFonts w:ascii="Arial" w:cs="Arial" w:eastAsia="Arial" w:hAnsi="Arial"/>
          <w:sz w:val="17"/>
          <w:szCs w:val="17"/>
          <w:color w:val="auto"/>
        </w:rPr>
        <w:t>As noted above, on April 3, 2020, pursuant to the agreement dated June 9, 2019, United Technologies and Raytheon Company completed their previously announced merger in an all-stock merger of equals, following the completion by United Technologies of the Separation Transactions and Distributions. Raytheon Company (NYSE:RTN) shares ceased trading prior to the market open on April 3, 2020, and each share of Raytheon common stock has been converted in the merger into the right to receive 2.3348 shares of United Technologies common stock previously traded on the NYSE under the ticker symbol “UTX." Upon closing of the Raytheon Merger, United Technologies’ name has changed to “Raytheon Technologies Corporation,” and its shares of common stock began trading as of April 3, 2020 on the NYSE under the ticker symbol “RTX.”</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Pro-Forma Data:</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40" w:firstLine="405"/>
        <w:spacing w:after="0" w:line="257" w:lineRule="auto"/>
        <w:rPr>
          <w:sz w:val="20"/>
          <w:szCs w:val="20"/>
          <w:color w:val="auto"/>
        </w:rPr>
      </w:pPr>
      <w:r>
        <w:rPr>
          <w:rFonts w:ascii="Arial" w:cs="Arial" w:eastAsia="Arial" w:hAnsi="Arial"/>
          <w:sz w:val="17"/>
          <w:szCs w:val="17"/>
          <w:color w:val="auto"/>
        </w:rPr>
        <w:t>Raytheon Company's results of operations have not been included in our financial statements for the quarter ended March 31, 2020 as the Raytheon Merger was completed on April 3, 2020. The following unaudited supplemental pro-forma data presents consolidated information as if the Raytheon Merger had been completed on January 1, 2019. The pro-forma results were calculated by combining the results of Raytheon Technologies with the stand-alone results of Raytheon Company for the pre-acquisition periods, which were adjusted to account for certain costs that would have been incurred during this pre-acquisition period. The results below reflect Raytheon Technologies excluding the results of Carrier and Otis, in order to more accurately represent the structure of Raytheon Technologies after completion of the Raytheon Merger.</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4"/>
                <w:szCs w:val="14"/>
                <w:b w:val="1"/>
                <w:bCs w:val="1"/>
                <w:color w:val="auto"/>
              </w:rPr>
              <w:t>Quarter Ended March 31,</w:t>
            </w:r>
          </w:p>
        </w:tc>
      </w:tr>
      <w:tr>
        <w:trPr>
          <w:trHeight w:val="196"/>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 except per share amounts; shares in millions)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18,451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17,623</w:t>
            </w: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Net income attributable to common shareowners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6"/>
              <w:spacing w:after="0"/>
              <w:rPr>
                <w:sz w:val="20"/>
                <w:szCs w:val="20"/>
                <w:color w:val="auto"/>
              </w:rPr>
            </w:pPr>
            <w:r>
              <w:rPr>
                <w:rFonts w:ascii="Arial" w:cs="Arial" w:eastAsia="Arial" w:hAnsi="Arial"/>
                <w:sz w:val="18"/>
                <w:szCs w:val="18"/>
                <w:color w:val="auto"/>
              </w:rPr>
              <w:t>1,760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1,599</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share of common stock</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1.06</w:t>
            </w: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Diluted earnings per share of common stock</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6"/>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1.06</w:t>
            </w:r>
          </w:p>
        </w:tc>
      </w:tr>
    </w:tbl>
    <w:p>
      <w:pPr>
        <w:spacing w:after="0" w:line="121" w:lineRule="exact"/>
        <w:rPr>
          <w:sz w:val="20"/>
          <w:szCs w:val="20"/>
          <w:color w:val="auto"/>
        </w:rPr>
      </w:pPr>
    </w:p>
    <w:p>
      <w:pPr>
        <w:ind w:right="260" w:firstLine="567"/>
        <w:spacing w:after="0" w:line="277" w:lineRule="auto"/>
        <w:rPr>
          <w:sz w:val="20"/>
          <w:szCs w:val="20"/>
          <w:color w:val="auto"/>
        </w:rPr>
      </w:pPr>
      <w:r>
        <w:rPr>
          <w:rFonts w:ascii="Arial" w:cs="Arial" w:eastAsia="Arial" w:hAnsi="Arial"/>
          <w:sz w:val="18"/>
          <w:szCs w:val="18"/>
          <w:color w:val="auto"/>
        </w:rPr>
        <w:t>The unaudited supplemental pro-forma data above includes the following significant adjustments made to account for certain costs which would have been incurred if the acquisition had been completed on January 1, 2019, as adjusted for the applicable tax impact.</w:t>
      </w:r>
    </w:p>
    <w:p>
      <w:pPr>
        <w:spacing w:after="0" w:line="10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4"/>
                <w:szCs w:val="14"/>
                <w:b w:val="1"/>
                <w:bCs w:val="1"/>
                <w:color w:val="auto"/>
              </w:rPr>
              <w:t>Quarter Ended March 31,</w:t>
            </w:r>
          </w:p>
        </w:tc>
      </w:tr>
      <w:tr>
        <w:trPr>
          <w:trHeight w:val="196"/>
        </w:trPr>
        <w:tc>
          <w:tcPr>
            <w:tcW w:w="83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20" w:type="dxa"/>
            <w:vAlign w:val="bottom"/>
          </w:tcPr>
          <w:p>
            <w:pPr>
              <w:spacing w:after="0"/>
              <w:rPr>
                <w:sz w:val="17"/>
                <w:szCs w:val="17"/>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72"/>
              <w:spacing w:after="0"/>
              <w:rPr>
                <w:sz w:val="20"/>
                <w:szCs w:val="20"/>
                <w:color w:val="auto"/>
              </w:rPr>
            </w:pPr>
            <w:r>
              <w:rPr>
                <w:rFonts w:ascii="Arial" w:cs="Arial" w:eastAsia="Arial" w:hAnsi="Arial"/>
                <w:sz w:val="14"/>
                <w:szCs w:val="14"/>
                <w:b w:val="1"/>
                <w:bCs w:val="1"/>
                <w:color w:val="auto"/>
              </w:rPr>
              <w:t>2019</w:t>
            </w:r>
          </w:p>
        </w:tc>
      </w:tr>
      <w:tr>
        <w:trPr>
          <w:trHeight w:val="276"/>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Amortization of acquired Raytheon Company intangible assets, net </w:t>
            </w:r>
            <w:r>
              <w:rPr>
                <w:rFonts w:ascii="Arial" w:cs="Arial" w:eastAsia="Arial" w:hAnsi="Arial"/>
                <w:sz w:val="23"/>
                <w:szCs w:val="23"/>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(266)</w:t>
            </w:r>
          </w:p>
        </w:tc>
      </w:tr>
      <w:tr>
        <w:trPr>
          <w:trHeight w:val="270"/>
        </w:trPr>
        <w:tc>
          <w:tcPr>
            <w:tcW w:w="8340" w:type="dxa"/>
            <w:vAlign w:val="bottom"/>
          </w:tcPr>
          <w:p>
            <w:pPr>
              <w:ind w:left="20"/>
              <w:spacing w:after="0"/>
              <w:rPr>
                <w:sz w:val="20"/>
                <w:szCs w:val="20"/>
                <w:color w:val="auto"/>
              </w:rPr>
            </w:pPr>
            <w:r>
              <w:rPr>
                <w:rFonts w:ascii="Arial" w:cs="Arial" w:eastAsia="Arial" w:hAnsi="Arial"/>
                <w:sz w:val="18"/>
                <w:szCs w:val="18"/>
                <w:color w:val="auto"/>
              </w:rPr>
              <w:t xml:space="preserve">Amortization of fixed asset fair value adjustment </w:t>
            </w:r>
            <w:r>
              <w:rPr>
                <w:rFonts w:ascii="Arial" w:cs="Arial" w:eastAsia="Arial" w:hAnsi="Arial"/>
                <w:sz w:val="23"/>
                <w:szCs w:val="23"/>
                <w:color w:val="auto"/>
                <w:vertAlign w:val="superscript"/>
              </w:rPr>
              <w:t>2</w:t>
            </w:r>
          </w:p>
        </w:tc>
        <w:tc>
          <w:tcPr>
            <w:tcW w:w="32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(10)</w:t>
            </w:r>
          </w:p>
        </w:tc>
      </w:tr>
      <w:tr>
        <w:trPr>
          <w:trHeight w:val="270"/>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Utilization of contractual customer obligation </w:t>
            </w:r>
            <w:r>
              <w:rPr>
                <w:rFonts w:ascii="Arial" w:cs="Arial" w:eastAsia="Arial" w:hAnsi="Arial"/>
                <w:sz w:val="23"/>
                <w:szCs w:val="23"/>
                <w:color w:val="auto"/>
                <w:vertAlign w:val="superscript"/>
              </w:rPr>
              <w:t>3</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15</w:t>
            </w:r>
          </w:p>
        </w:tc>
      </w:tr>
      <w:tr>
        <w:trPr>
          <w:trHeight w:val="270"/>
        </w:trPr>
        <w:tc>
          <w:tcPr>
            <w:tcW w:w="8340" w:type="dxa"/>
            <w:vAlign w:val="bottom"/>
          </w:tcPr>
          <w:p>
            <w:pPr>
              <w:ind w:left="20"/>
              <w:spacing w:after="0"/>
              <w:rPr>
                <w:sz w:val="20"/>
                <w:szCs w:val="20"/>
                <w:color w:val="auto"/>
              </w:rPr>
            </w:pPr>
            <w:r>
              <w:rPr>
                <w:rFonts w:ascii="Arial" w:cs="Arial" w:eastAsia="Arial" w:hAnsi="Arial"/>
                <w:sz w:val="18"/>
                <w:szCs w:val="18"/>
                <w:color w:val="auto"/>
              </w:rPr>
              <w:t xml:space="preserve">Deferred revenue fair value adjustment </w:t>
            </w:r>
            <w:r>
              <w:rPr>
                <w:rFonts w:ascii="Arial" w:cs="Arial" w:eastAsia="Arial" w:hAnsi="Arial"/>
                <w:sz w:val="23"/>
                <w:szCs w:val="23"/>
                <w:color w:val="auto"/>
                <w:vertAlign w:val="superscript"/>
              </w:rPr>
              <w:t>4</w:t>
            </w:r>
          </w:p>
        </w:tc>
        <w:tc>
          <w:tcPr>
            <w:tcW w:w="32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(9)</w:t>
            </w:r>
          </w:p>
        </w:tc>
      </w:tr>
      <w:tr>
        <w:trPr>
          <w:trHeight w:val="270"/>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Adjustment to net periodic pension cost </w:t>
            </w:r>
            <w:r>
              <w:rPr>
                <w:rFonts w:ascii="Arial" w:cs="Arial" w:eastAsia="Arial" w:hAnsi="Arial"/>
                <w:sz w:val="23"/>
                <w:szCs w:val="23"/>
                <w:color w:val="auto"/>
                <w:vertAlign w:val="superscript"/>
              </w:rPr>
              <w:t>5</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241</w:t>
            </w:r>
          </w:p>
        </w:tc>
      </w:tr>
      <w:tr>
        <w:trPr>
          <w:trHeight w:val="270"/>
        </w:trPr>
        <w:tc>
          <w:tcPr>
            <w:tcW w:w="8340" w:type="dxa"/>
            <w:vAlign w:val="bottom"/>
          </w:tcPr>
          <w:p>
            <w:pPr>
              <w:ind w:left="20"/>
              <w:spacing w:after="0"/>
              <w:rPr>
                <w:sz w:val="20"/>
                <w:szCs w:val="20"/>
                <w:color w:val="auto"/>
              </w:rPr>
            </w:pPr>
            <w:r>
              <w:rPr>
                <w:rFonts w:ascii="Arial" w:cs="Arial" w:eastAsia="Arial" w:hAnsi="Arial"/>
                <w:sz w:val="18"/>
                <w:szCs w:val="18"/>
                <w:color w:val="auto"/>
              </w:rPr>
              <w:t xml:space="preserve">RTC/Raytheon fees for advisory, legal, accounting services </w:t>
            </w:r>
            <w:r>
              <w:rPr>
                <w:rFonts w:ascii="Arial" w:cs="Arial" w:eastAsia="Arial" w:hAnsi="Arial"/>
                <w:sz w:val="23"/>
                <w:szCs w:val="23"/>
                <w:color w:val="auto"/>
                <w:vertAlign w:val="superscript"/>
              </w:rPr>
              <w:t>6</w:t>
            </w:r>
          </w:p>
        </w:tc>
        <w:tc>
          <w:tcPr>
            <w:tcW w:w="320" w:type="dxa"/>
            <w:vAlign w:val="bottom"/>
          </w:tcPr>
          <w:p>
            <w:pPr>
              <w:spacing w:after="0"/>
              <w:rPr>
                <w:sz w:val="23"/>
                <w:szCs w:val="23"/>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0"/>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Adjustment to interest expense related to debt distributions and Raytheon Merger, net </w:t>
            </w:r>
            <w:r>
              <w:rPr>
                <w:rFonts w:ascii="Arial" w:cs="Arial" w:eastAsia="Arial" w:hAnsi="Arial"/>
                <w:sz w:val="23"/>
                <w:szCs w:val="23"/>
                <w:color w:val="auto"/>
                <w:vertAlign w:val="superscript"/>
              </w:rPr>
              <w:t>7</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131</w:t>
            </w:r>
          </w:p>
        </w:tc>
      </w:tr>
      <w:tr>
        <w:trPr>
          <w:trHeight w:val="270"/>
        </w:trPr>
        <w:tc>
          <w:tcPr>
            <w:tcW w:w="8340" w:type="dxa"/>
            <w:vAlign w:val="bottom"/>
          </w:tcPr>
          <w:p>
            <w:pPr>
              <w:ind w:left="20"/>
              <w:spacing w:after="0"/>
              <w:rPr>
                <w:sz w:val="20"/>
                <w:szCs w:val="20"/>
                <w:color w:val="auto"/>
              </w:rPr>
            </w:pPr>
            <w:r>
              <w:rPr>
                <w:rFonts w:ascii="Arial" w:cs="Arial" w:eastAsia="Arial" w:hAnsi="Arial"/>
                <w:sz w:val="18"/>
                <w:szCs w:val="18"/>
                <w:color w:val="auto"/>
              </w:rPr>
              <w:t xml:space="preserve">Elimination of deferred commission amortization </w:t>
            </w:r>
            <w:r>
              <w:rPr>
                <w:rFonts w:ascii="Arial" w:cs="Arial" w:eastAsia="Arial" w:hAnsi="Arial"/>
                <w:sz w:val="23"/>
                <w:szCs w:val="23"/>
                <w:color w:val="auto"/>
                <w:vertAlign w:val="superscript"/>
              </w:rPr>
              <w:t>8</w:t>
            </w:r>
          </w:p>
        </w:tc>
        <w:tc>
          <w:tcPr>
            <w:tcW w:w="320" w:type="dxa"/>
            <w:vAlign w:val="bottom"/>
          </w:tcPr>
          <w:p>
            <w:pPr>
              <w:spacing w:after="0"/>
              <w:rPr>
                <w:sz w:val="23"/>
                <w:szCs w:val="23"/>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3</w:t>
            </w:r>
          </w:p>
        </w:tc>
      </w:tr>
      <w:tr>
        <w:trPr>
          <w:trHeight w:val="270"/>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Otis and Carrier separation</w:t>
            </w:r>
            <w:r>
              <w:rPr>
                <w:rFonts w:ascii="Arial" w:cs="Arial" w:eastAsia="Arial" w:hAnsi="Arial"/>
                <w:sz w:val="23"/>
                <w:szCs w:val="23"/>
                <w:color w:val="auto"/>
                <w:vertAlign w:val="superscript"/>
              </w:rPr>
              <w:t>9</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(634)</w:t>
            </w:r>
          </w:p>
        </w:tc>
      </w:tr>
      <w:tr>
        <w:trPr>
          <w:trHeight w:val="237"/>
        </w:trPr>
        <w:tc>
          <w:tcPr>
            <w:tcW w:w="83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(529)</w:t>
            </w:r>
          </w:p>
        </w:tc>
      </w:tr>
      <w:tr>
        <w:trPr>
          <w:trHeight w:val="27"/>
        </w:trPr>
        <w:tc>
          <w:tcPr>
            <w:tcW w:w="8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ind w:left="340" w:right="320" w:hanging="323"/>
        <w:spacing w:after="0" w:line="273" w:lineRule="auto"/>
        <w:rPr>
          <w:sz w:val="20"/>
          <w:szCs w:val="20"/>
          <w:color w:val="auto"/>
        </w:rPr>
      </w:pPr>
      <w:r>
        <w:rPr>
          <w:rFonts w:ascii="Arial" w:cs="Arial" w:eastAsia="Arial" w:hAnsi="Arial"/>
          <w:sz w:val="14"/>
          <w:szCs w:val="14"/>
          <w:color w:val="auto"/>
        </w:rPr>
        <w:t>1 Reflects the additional amortization of the acquired Raytheon Company's intangible assets recognized at fair value in purchase accounting and eliminates the historical Raytheon Company intangible asset amortization expense.</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2 Reflects the amortization of the fixed asset fair value adjustment as of the acquisition date.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3 Reflects the additional amortization of liabilities recognized for acquired contracts with terms less favorable than could be realized in market transactions as of the acquisition date.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4 Reflects the difference between prepayments related to extended arrangements and the preliminary fair value of the assumed performance obligations as they are satisfied.</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5 Represents the impact of the pension and postretirement service cost expense as determined under RTC’s plan assumptions.</w:t>
      </w:r>
    </w:p>
    <w:p>
      <w:pPr>
        <w:spacing w:after="0" w:line="55" w:lineRule="exact"/>
        <w:rPr>
          <w:sz w:val="20"/>
          <w:szCs w:val="20"/>
          <w:color w:val="auto"/>
        </w:rPr>
      </w:pPr>
    </w:p>
    <w:p>
      <w:pPr>
        <w:ind w:left="340" w:right="120" w:hanging="323"/>
        <w:spacing w:after="0" w:line="273" w:lineRule="auto"/>
        <w:rPr>
          <w:sz w:val="20"/>
          <w:szCs w:val="20"/>
          <w:color w:val="auto"/>
        </w:rPr>
      </w:pPr>
      <w:r>
        <w:rPr>
          <w:rFonts w:ascii="Arial" w:cs="Arial" w:eastAsia="Arial" w:hAnsi="Arial"/>
          <w:sz w:val="14"/>
          <w:szCs w:val="14"/>
          <w:color w:val="auto"/>
        </w:rPr>
        <w:t>6 Reflects the elimination of transaction-related fees incurred by RTC and Raytheon Company in connection with the Raytheon Merger and assumes all of the fees were incurred during the first quarter of 2019.</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7 Reflects a reduction in interest expense as result of RTC's paydown of debt to meet its targeted indebtedness, in connection with the Raytheon Merger.</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8 Reflects the elimination of amortization recognized on deferred commissions that are eliminated in purchase accounting.</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9 Reflects the impact of the Separation Transactions and Distributions.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Information Including the Results of Otis and Carrier:</w:t>
      </w:r>
    </w:p>
    <w:p>
      <w:pPr>
        <w:spacing w:after="0" w:line="23"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following unaudited supplemental pro-forma data presents consolidated information as if the Raytheon Merger had been completed on January 1, 2019. The pro-forma results were calculated by combining the results of Raytheon Technologies, including the results of Carrier and Otis, with the stand-alone results of Raytheon Company for the pre-acquisition periods, which were adjusted to account for certain costs that would have been incurred during this pre-acquisition period. Significant adjustments made to account for certain costs which would have been incurred if the acquisition had been completed on January 1, 2019 were consistent with the adjustments presented in the table above.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4"/>
                <w:szCs w:val="14"/>
                <w:b w:val="1"/>
                <w:bCs w:val="1"/>
                <w:color w:val="auto"/>
              </w:rPr>
              <w:t>Quarter Ended March 31,</w:t>
            </w:r>
          </w:p>
        </w:tc>
      </w:tr>
      <w:tr>
        <w:trPr>
          <w:trHeight w:val="196"/>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 except per share amounts; shares in millions)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r>
      <w:tr>
        <w:trPr>
          <w:trHeight w:val="249"/>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25,301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25,035</w:t>
            </w: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Net income attributable to common shareowners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6"/>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1,942</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share of common stock</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1.29</w:t>
            </w: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Diluted earnings per share of common stock</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6"/>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1.28</w:t>
            </w:r>
          </w:p>
        </w:tc>
      </w:tr>
    </w:tbl>
    <w:p>
      <w:pPr>
        <w:spacing w:after="0" w:line="200" w:lineRule="exact"/>
        <w:rPr>
          <w:sz w:val="20"/>
          <w:szCs w:val="20"/>
          <w:color w:val="auto"/>
        </w:rPr>
      </w:pPr>
    </w:p>
    <w:p>
      <w:pPr>
        <w:spacing w:after="0" w:line="272"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The unaudited supplemental pro-forma financial data does not reflect the potential realization of cost savings related to the integration of the two companies. Further, the pro-forma data should not be considered indicative of the results that would have occurred if the acquisition had been consummated on January 1, 2019, nor are they indicative of future results.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Dispositions. </w:t>
      </w:r>
      <w:r>
        <w:rPr>
          <w:rFonts w:ascii="Arial" w:cs="Arial" w:eastAsia="Arial" w:hAnsi="Arial"/>
          <w:sz w:val="18"/>
          <w:szCs w:val="18"/>
          <w:color w:val="auto"/>
        </w:rPr>
        <w:t>During the quarter ended March 31, 2020 there were no dispositions.</w:t>
      </w:r>
    </w:p>
    <w:p>
      <w:pPr>
        <w:spacing w:after="0" w:line="108" w:lineRule="exact"/>
        <w:rPr>
          <w:sz w:val="20"/>
          <w:szCs w:val="20"/>
          <w:color w:val="auto"/>
        </w:rPr>
      </w:pPr>
    </w:p>
    <w:p>
      <w:pPr>
        <w:ind w:right="140" w:firstLine="445"/>
        <w:spacing w:after="0" w:line="253" w:lineRule="auto"/>
        <w:rPr>
          <w:sz w:val="20"/>
          <w:szCs w:val="20"/>
          <w:color w:val="auto"/>
        </w:rPr>
      </w:pPr>
      <w:r>
        <w:rPr>
          <w:rFonts w:ascii="Arial" w:cs="Arial" w:eastAsia="Arial" w:hAnsi="Arial"/>
          <w:sz w:val="17"/>
          <w:szCs w:val="17"/>
          <w:color w:val="auto"/>
        </w:rPr>
        <w:t>As previously disclosed, on April 2, 2020, Carrier and Otis entered into a Separation and Distribution Agreement with UTC (since renamed Raytheon Technologies Corporation), pursuant to which, among other things, UTC agreed to separate into three independent, publicly traded companies – UTC, Otis Worldwide Corporation and Carrier Global Corporation and distribute all of the outstanding common stock of Carrier and Otis to UTC shareowners who held shares of UTC common stock as of the close of business on March 19, 2020. UTC distributed 866,158,910 and 433,079,455 shares of common stock of Carrier and Otis, respectively in the Distributions. As a result of the Distributions, Carrier and Otis are now independent publicly traded companies. The historical results of Otis and Carrier will be presented as discontinued operations in our second quarter financial statements. In the quarter ended March 31, 2020, a total of $1,437 million of costs have been incurred related to the Separation Transactions and recorded in the following financial statement line items: $271 million of Selling, general and administrative costs, $660 million of Debt extinguishment costs, $6 million of Interest expense, and $500 million of Income tax expense.</w:t>
      </w:r>
    </w:p>
    <w:p>
      <w:pPr>
        <w:spacing w:after="0" w:line="22" w:lineRule="exact"/>
        <w:rPr>
          <w:sz w:val="20"/>
          <w:szCs w:val="20"/>
          <w:color w:val="auto"/>
        </w:rPr>
      </w:pPr>
    </w:p>
    <w:p>
      <w:pPr>
        <w:ind w:right="120" w:firstLine="648"/>
        <w:spacing w:after="0" w:line="243" w:lineRule="auto"/>
        <w:rPr>
          <w:sz w:val="20"/>
          <w:szCs w:val="20"/>
          <w:color w:val="auto"/>
        </w:rPr>
      </w:pPr>
      <w:r>
        <w:rPr>
          <w:rFonts w:ascii="Arial" w:cs="Arial" w:eastAsia="Arial" w:hAnsi="Arial"/>
          <w:sz w:val="18"/>
          <w:szCs w:val="18"/>
          <w:color w:val="auto"/>
        </w:rPr>
        <w:t>In accordance with conditions imposed for regulatory approval of the Raytheon Merger, Collins Aerospace Systems is required to dispose of certain businesses. The proposed sale of these businesses was subject to the completion of the Raytheon Merger as well as the satisfaction of other closing conditions, including receipt of regulatory approvals. Due to these closing conditions, the criteria for held for sale accounting treatment was not met until the completion of the Raytheon Merger on April 3, 2020.</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Changes in our goodwill balances for the quarter ended March 31, 2020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Balance as of</w:t>
            </w:r>
          </w:p>
        </w:tc>
        <w:tc>
          <w:tcPr>
            <w:tcW w:w="240" w:type="dxa"/>
            <w:vAlign w:val="bottom"/>
          </w:tcPr>
          <w:p>
            <w:pPr>
              <w:spacing w:after="0"/>
              <w:rPr>
                <w:sz w:val="14"/>
                <w:szCs w:val="14"/>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Goodwill</w:t>
            </w:r>
          </w:p>
        </w:tc>
        <w:tc>
          <w:tcPr>
            <w:tcW w:w="100" w:type="dxa"/>
            <w:vAlign w:val="bottom"/>
          </w:tcPr>
          <w:p>
            <w:pPr>
              <w:spacing w:after="0"/>
              <w:rPr>
                <w:sz w:val="14"/>
                <w:szCs w:val="14"/>
                <w:color w:val="auto"/>
              </w:rPr>
            </w:pPr>
          </w:p>
        </w:tc>
        <w:tc>
          <w:tcPr>
            <w:tcW w:w="16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Foreign Currency</w:t>
            </w:r>
          </w:p>
        </w:tc>
        <w:tc>
          <w:tcPr>
            <w:tcW w:w="16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Balance as of March 31,</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7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Resulting from Business</w:t>
            </w:r>
          </w:p>
        </w:tc>
        <w:tc>
          <w:tcPr>
            <w:tcW w:w="1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January 1, 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2"/>
              </w:rPr>
              <w:t>Combinations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4"/>
              </w:rPr>
              <w:t>Translation and Other</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Otis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1,647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Carrier</w:t>
            </w:r>
          </w:p>
        </w:tc>
        <w:tc>
          <w:tcPr>
            <w:tcW w:w="220" w:type="dxa"/>
            <w:vAlign w:val="bottom"/>
          </w:tcPr>
          <w:p>
            <w:pPr>
              <w:spacing w:after="0"/>
              <w:rPr>
                <w:sz w:val="21"/>
                <w:szCs w:val="21"/>
                <w:color w:val="auto"/>
              </w:rPr>
            </w:pPr>
          </w:p>
        </w:tc>
        <w:tc>
          <w:tcPr>
            <w:tcW w:w="1400" w:type="dxa"/>
            <w:vAlign w:val="bottom"/>
          </w:tcPr>
          <w:p>
            <w:pPr>
              <w:jc w:val="right"/>
              <w:ind w:right="74"/>
              <w:spacing w:after="0"/>
              <w:rPr>
                <w:sz w:val="20"/>
                <w:szCs w:val="20"/>
                <w:color w:val="auto"/>
              </w:rPr>
            </w:pPr>
            <w:r>
              <w:rPr>
                <w:rFonts w:ascii="Arial" w:cs="Arial" w:eastAsia="Arial" w:hAnsi="Arial"/>
                <w:sz w:val="18"/>
                <w:szCs w:val="18"/>
                <w:color w:val="auto"/>
              </w:rPr>
              <w:t>9,807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9,599</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Pratt &amp; Whitney</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1,563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Collins Aerospace Systems</w:t>
            </w:r>
          </w:p>
        </w:tc>
        <w:tc>
          <w:tcPr>
            <w:tcW w:w="220" w:type="dxa"/>
            <w:vAlign w:val="bottom"/>
          </w:tcPr>
          <w:p>
            <w:pPr>
              <w:spacing w:after="0"/>
              <w:rPr>
                <w:sz w:val="21"/>
                <w:szCs w:val="21"/>
                <w:color w:val="auto"/>
              </w:rPr>
            </w:pPr>
          </w:p>
        </w:tc>
        <w:tc>
          <w:tcPr>
            <w:tcW w:w="1400" w:type="dxa"/>
            <w:vAlign w:val="bottom"/>
          </w:tcPr>
          <w:p>
            <w:pPr>
              <w:jc w:val="right"/>
              <w:ind w:right="74"/>
              <w:spacing w:after="0"/>
              <w:rPr>
                <w:sz w:val="20"/>
                <w:szCs w:val="20"/>
                <w:color w:val="auto"/>
              </w:rPr>
            </w:pPr>
            <w:r>
              <w:rPr>
                <w:rFonts w:ascii="Arial" w:cs="Arial" w:eastAsia="Arial" w:hAnsi="Arial"/>
                <w:sz w:val="18"/>
                <w:szCs w:val="18"/>
                <w:color w:val="auto"/>
              </w:rPr>
              <w:t>35,025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34,690</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Segments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48,042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47,460</w:t>
            </w: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Eliminations and other</w:t>
            </w:r>
          </w:p>
        </w:tc>
        <w:tc>
          <w:tcPr>
            <w:tcW w:w="220" w:type="dxa"/>
            <w:vAlign w:val="bottom"/>
          </w:tcPr>
          <w:p>
            <w:pPr>
              <w:spacing w:after="0"/>
              <w:rPr>
                <w:sz w:val="21"/>
                <w:szCs w:val="21"/>
                <w:color w:val="auto"/>
              </w:rPr>
            </w:pPr>
          </w:p>
        </w:tc>
        <w:tc>
          <w:tcPr>
            <w:tcW w:w="1400" w:type="dxa"/>
            <w:vAlign w:val="bottom"/>
          </w:tcPr>
          <w:p>
            <w:pPr>
              <w:jc w:val="right"/>
              <w:ind w:right="74"/>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48,063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(582)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47,481</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40" w:firstLine="648"/>
        <w:spacing w:after="0" w:line="251" w:lineRule="auto"/>
        <w:rPr>
          <w:sz w:val="20"/>
          <w:szCs w:val="20"/>
          <w:color w:val="auto"/>
        </w:rPr>
      </w:pPr>
      <w:r>
        <w:rPr>
          <w:rFonts w:ascii="Arial" w:cs="Arial" w:eastAsia="Arial" w:hAnsi="Arial"/>
          <w:sz w:val="17"/>
          <w:szCs w:val="17"/>
          <w:color w:val="auto"/>
        </w:rPr>
        <w:t>The Company reviews goodwill for impairment annually or more frequently if events or changes in circumstances indicate the asset might be impaired. The Company considered the deterioration in general economic and market conditions due to the COVID-19 pandemic to be a triggering event requiring us to reassess our goodwill and intangibles valuations as well as significant assumptions of future income from our underlying assets and potential changes in our liabilities. The extent of the pandemic’s impact depends on future developments, which are highly uncertain and cannot be predicted, including new information which may emerge concerning the scope, severity and duration of the COVID-19 pandemic, actions to contain its spread or treat its impact, and governmental, business and individuals’ actions taken in response to the pandemic (including restrictions and limitations on travel and transportation) among others. Based upon the dynamic environment, we will continue to evaluate in future periods whether these assumptions continue to be reasonable and will update the forecasts and impairment analysis as needed.</w:t>
      </w:r>
    </w:p>
    <w:p>
      <w:pPr>
        <w:spacing w:after="0" w:line="1" w:lineRule="exact"/>
        <w:rPr>
          <w:sz w:val="20"/>
          <w:szCs w:val="20"/>
          <w:color w:val="auto"/>
        </w:rPr>
      </w:pPr>
    </w:p>
    <w:p>
      <w:pPr>
        <w:ind w:right="440" w:firstLine="648"/>
        <w:spacing w:after="0" w:line="243" w:lineRule="auto"/>
        <w:rPr>
          <w:sz w:val="20"/>
          <w:szCs w:val="20"/>
          <w:color w:val="auto"/>
        </w:rPr>
      </w:pPr>
      <w:r>
        <w:rPr>
          <w:rFonts w:ascii="Arial" w:cs="Arial" w:eastAsia="Arial" w:hAnsi="Arial"/>
          <w:sz w:val="18"/>
          <w:szCs w:val="18"/>
          <w:color w:val="auto"/>
        </w:rPr>
        <w:t>Based upon our analysis, we have determined that none of our goodwill has been impaired as of March 31, 2020. The reporting unit that was closest to impairment was a reporting unit at Collins Aerospace Systems with a fair value in excess of</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380"/>
        <w:spacing w:after="0" w:line="244" w:lineRule="auto"/>
        <w:rPr>
          <w:sz w:val="20"/>
          <w:szCs w:val="20"/>
          <w:color w:val="auto"/>
        </w:rPr>
      </w:pPr>
      <w:r>
        <w:rPr>
          <w:rFonts w:ascii="Arial" w:cs="Arial" w:eastAsia="Arial" w:hAnsi="Arial"/>
          <w:sz w:val="18"/>
          <w:szCs w:val="18"/>
          <w:color w:val="auto"/>
        </w:rPr>
        <w:t>net book value, including goodwill, of approximately $1.5 billion or 15%. As noted below, our assessment did result in a $40 million impairment of an indefinite-lived intangible asset at Collins Aerospace Systems.</w:t>
      </w:r>
    </w:p>
    <w:p>
      <w:pPr>
        <w:jc w:val="both"/>
        <w:ind w:firstLine="648"/>
        <w:spacing w:after="0" w:line="237" w:lineRule="auto"/>
        <w:rPr>
          <w:sz w:val="20"/>
          <w:szCs w:val="20"/>
          <w:color w:val="auto"/>
        </w:rPr>
      </w:pPr>
      <w:r>
        <w:rPr>
          <w:rFonts w:ascii="Arial" w:cs="Arial" w:eastAsia="Arial" w:hAnsi="Arial"/>
          <w:sz w:val="18"/>
          <w:szCs w:val="18"/>
          <w:color w:val="auto"/>
        </w:rPr>
        <w:t>The Company continuously monitors for events and circumstances that could negatively impact the key assumptions in determining fair value, including long-term revenue growth projections, profitability, discount rates, recent market valuations from transactions by comparable companies, volatility in the Company's market capitalization, and general industry, market and macro-economic conditions. It is possible that future changes in such circumstances, including a more prolonged and/or severe COVID-19 pandemic than originally anticipated, or future changes in the variables associated with the judgments, assumptions and estimates used in assessing the fair value of our reporting units, would require the Company to record a non-cash impairment charge.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Intangible Assets. </w:t>
      </w:r>
      <w:r>
        <w:rPr>
          <w:rFonts w:ascii="Arial" w:cs="Arial" w:eastAsia="Arial" w:hAnsi="Arial"/>
          <w:sz w:val="18"/>
          <w:szCs w:val="18"/>
          <w:color w:val="auto"/>
        </w:rPr>
        <w:t>Identifiable intangible assets are comprised of the following:</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1114"/>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1014"/>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52"/>
        </w:trPr>
        <w:tc>
          <w:tcPr>
            <w:tcW w:w="4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Gross Amount</w:t>
            </w:r>
          </w:p>
        </w:tc>
        <w:tc>
          <w:tcPr>
            <w:tcW w:w="260" w:type="dxa"/>
            <w:vAlign w:val="bottom"/>
          </w:tcPr>
          <w:p>
            <w:pPr>
              <w:spacing w:after="0"/>
              <w:rPr>
                <w:sz w:val="13"/>
                <w:szCs w:val="13"/>
                <w:color w:val="auto"/>
              </w:rPr>
            </w:pPr>
          </w:p>
        </w:tc>
        <w:tc>
          <w:tcPr>
            <w:tcW w:w="14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3"/>
                <w:szCs w:val="13"/>
                <w:color w:val="auto"/>
              </w:rPr>
            </w:pPr>
          </w:p>
        </w:tc>
        <w:tc>
          <w:tcPr>
            <w:tcW w:w="15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Gross Amount</w:t>
            </w:r>
          </w:p>
        </w:tc>
        <w:tc>
          <w:tcPr>
            <w:tcW w:w="260" w:type="dxa"/>
            <w:vAlign w:val="bottom"/>
          </w:tcPr>
          <w:p>
            <w:pPr>
              <w:spacing w:after="0"/>
              <w:rPr>
                <w:sz w:val="13"/>
                <w:szCs w:val="13"/>
                <w:color w:val="auto"/>
              </w:rPr>
            </w:pPr>
          </w:p>
        </w:tc>
        <w:tc>
          <w:tcPr>
            <w:tcW w:w="1360" w:type="dxa"/>
            <w:vAlign w:val="bottom"/>
          </w:tcPr>
          <w:p>
            <w:pPr>
              <w:jc w:val="right"/>
              <w:ind w:right="314"/>
              <w:spacing w:after="0" w:line="153" w:lineRule="exact"/>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92"/>
        </w:trPr>
        <w:tc>
          <w:tcPr>
            <w:tcW w:w="44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jc w:val="right"/>
              <w:ind w:right="314"/>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36"/>
        </w:trPr>
        <w:tc>
          <w:tcPr>
            <w:tcW w:w="4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Amortized:</w:t>
            </w: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340"/>
              <w:spacing w:after="0"/>
              <w:rPr>
                <w:sz w:val="20"/>
                <w:szCs w:val="20"/>
                <w:color w:val="auto"/>
              </w:rPr>
            </w:pPr>
            <w:r>
              <w:rPr>
                <w:rFonts w:ascii="Arial" w:cs="Arial" w:eastAsia="Arial" w:hAnsi="Arial"/>
                <w:sz w:val="18"/>
                <w:szCs w:val="18"/>
                <w:color w:val="auto"/>
              </w:rPr>
              <w:t>Service portfolios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74"/>
              <w:spacing w:after="0"/>
              <w:rPr>
                <w:sz w:val="20"/>
                <w:szCs w:val="20"/>
                <w:color w:val="auto"/>
              </w:rPr>
            </w:pPr>
            <w:r>
              <w:rPr>
                <w:rFonts w:ascii="Arial" w:cs="Arial" w:eastAsia="Arial" w:hAnsi="Arial"/>
                <w:sz w:val="18"/>
                <w:szCs w:val="18"/>
                <w:color w:val="auto"/>
              </w:rPr>
              <w:t>2,052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(1,600)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74"/>
              <w:spacing w:after="0"/>
              <w:rPr>
                <w:sz w:val="20"/>
                <w:szCs w:val="20"/>
                <w:color w:val="auto"/>
              </w:rPr>
            </w:pPr>
            <w:r>
              <w:rPr>
                <w:rFonts w:ascii="Arial" w:cs="Arial" w:eastAsia="Arial" w:hAnsi="Arial"/>
                <w:sz w:val="18"/>
                <w:szCs w:val="18"/>
                <w:color w:val="auto"/>
              </w:rPr>
              <w:t>2,105</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Patents and trademarks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43"/>
        </w:trPr>
        <w:tc>
          <w:tcPr>
            <w:tcW w:w="4440" w:type="dxa"/>
            <w:vAlign w:val="bottom"/>
          </w:tcPr>
          <w:p>
            <w:pPr>
              <w:ind w:left="340"/>
              <w:spacing w:after="0"/>
              <w:rPr>
                <w:sz w:val="20"/>
                <w:szCs w:val="20"/>
                <w:color w:val="auto"/>
              </w:rPr>
            </w:pPr>
            <w:r>
              <w:rPr>
                <w:rFonts w:ascii="Arial" w:cs="Arial" w:eastAsia="Arial" w:hAnsi="Arial"/>
                <w:sz w:val="18"/>
                <w:szCs w:val="18"/>
                <w:color w:val="auto"/>
              </w:rPr>
              <w:t>Collaboration intangible assets</w:t>
            </w:r>
          </w:p>
        </w:tc>
        <w:tc>
          <w:tcPr>
            <w:tcW w:w="240" w:type="dxa"/>
            <w:vAlign w:val="bottom"/>
          </w:tcPr>
          <w:p>
            <w:pPr>
              <w:spacing w:after="0"/>
              <w:rPr>
                <w:sz w:val="21"/>
                <w:szCs w:val="21"/>
                <w:color w:val="auto"/>
              </w:rPr>
            </w:pPr>
          </w:p>
        </w:tc>
        <w:tc>
          <w:tcPr>
            <w:tcW w:w="1380" w:type="dxa"/>
            <w:vAlign w:val="bottom"/>
          </w:tcPr>
          <w:p>
            <w:pPr>
              <w:jc w:val="right"/>
              <w:ind w:right="74"/>
              <w:spacing w:after="0"/>
              <w:rPr>
                <w:sz w:val="20"/>
                <w:szCs w:val="20"/>
                <w:color w:val="auto"/>
              </w:rPr>
            </w:pPr>
            <w:r>
              <w:rPr>
                <w:rFonts w:ascii="Arial" w:cs="Arial" w:eastAsia="Arial" w:hAnsi="Arial"/>
                <w:sz w:val="18"/>
                <w:szCs w:val="18"/>
                <w:color w:val="auto"/>
              </w:rPr>
              <w:t>4,940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(990)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ind w:right="74"/>
              <w:spacing w:after="0"/>
              <w:rPr>
                <w:sz w:val="20"/>
                <w:szCs w:val="20"/>
                <w:color w:val="auto"/>
              </w:rPr>
            </w:pPr>
            <w:r>
              <w:rPr>
                <w:rFonts w:ascii="Arial" w:cs="Arial" w:eastAsia="Arial" w:hAnsi="Arial"/>
                <w:sz w:val="18"/>
                <w:szCs w:val="18"/>
                <w:color w:val="auto"/>
              </w:rPr>
              <w:t>4,862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Customer relationships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23,084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(5,795)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23,210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(5,607)</w:t>
            </w:r>
          </w:p>
        </w:tc>
        <w:tc>
          <w:tcPr>
            <w:tcW w:w="0" w:type="dxa"/>
            <w:vAlign w:val="bottom"/>
          </w:tcPr>
          <w:p>
            <w:pPr>
              <w:spacing w:after="0"/>
              <w:rPr>
                <w:sz w:val="1"/>
                <w:szCs w:val="1"/>
                <w:color w:val="auto"/>
              </w:rPr>
            </w:pPr>
          </w:p>
        </w:tc>
      </w:tr>
      <w:tr>
        <w:trPr>
          <w:trHeight w:val="237"/>
        </w:trPr>
        <w:tc>
          <w:tcPr>
            <w:tcW w:w="44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30,426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(8,634)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30,533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(8,403)</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Unamortized:</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440" w:type="dxa"/>
            <w:vAlign w:val="bottom"/>
          </w:tcPr>
          <w:p>
            <w:pPr>
              <w:ind w:left="360"/>
              <w:spacing w:after="0"/>
              <w:rPr>
                <w:sz w:val="20"/>
                <w:szCs w:val="20"/>
                <w:color w:val="auto"/>
              </w:rPr>
            </w:pPr>
            <w:r>
              <w:rPr>
                <w:rFonts w:ascii="Arial" w:cs="Arial" w:eastAsia="Arial" w:hAnsi="Arial"/>
                <w:sz w:val="18"/>
                <w:szCs w:val="18"/>
                <w:color w:val="auto"/>
              </w:rPr>
              <w:t>Trademarks and other</w:t>
            </w:r>
            <w:r>
              <w:rPr>
                <w:rFonts w:ascii="Arial" w:cs="Arial" w:eastAsia="Arial" w:hAnsi="Arial"/>
                <w:sz w:val="23"/>
                <w:szCs w:val="23"/>
                <w:color w:val="auto"/>
                <w:vertAlign w:val="superscript"/>
              </w:rPr>
              <w:t>1</w:t>
            </w:r>
          </w:p>
        </w:tc>
        <w:tc>
          <w:tcPr>
            <w:tcW w:w="240" w:type="dxa"/>
            <w:vAlign w:val="bottom"/>
          </w:tcPr>
          <w:p>
            <w:pPr>
              <w:spacing w:after="0"/>
              <w:rPr>
                <w:sz w:val="23"/>
                <w:szCs w:val="23"/>
                <w:color w:val="auto"/>
              </w:rPr>
            </w:pPr>
          </w:p>
        </w:tc>
        <w:tc>
          <w:tcPr>
            <w:tcW w:w="1380" w:type="dxa"/>
            <w:vAlign w:val="bottom"/>
          </w:tcPr>
          <w:p>
            <w:pPr>
              <w:jc w:val="right"/>
              <w:ind w:right="74"/>
              <w:spacing w:after="0"/>
              <w:rPr>
                <w:sz w:val="20"/>
                <w:szCs w:val="20"/>
                <w:color w:val="auto"/>
              </w:rPr>
            </w:pPr>
            <w:r>
              <w:rPr>
                <w:rFonts w:ascii="Arial" w:cs="Arial" w:eastAsia="Arial" w:hAnsi="Arial"/>
                <w:sz w:val="18"/>
                <w:szCs w:val="18"/>
                <w:color w:val="auto"/>
              </w:rPr>
              <w:t>3,808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400" w:type="dxa"/>
            <w:vAlign w:val="bottom"/>
          </w:tcPr>
          <w:p>
            <w:pPr>
              <w:jc w:val="right"/>
              <w:ind w:right="74"/>
              <w:spacing w:after="0"/>
              <w:rPr>
                <w:sz w:val="20"/>
                <w:szCs w:val="20"/>
                <w:color w:val="auto"/>
              </w:rPr>
            </w:pPr>
            <w:r>
              <w:rPr>
                <w:rFonts w:ascii="Arial" w:cs="Arial" w:eastAsia="Arial" w:hAnsi="Arial"/>
                <w:sz w:val="18"/>
                <w:szCs w:val="18"/>
                <w:color w:val="auto"/>
              </w:rPr>
              <w:t>3,916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8"/>
        </w:trPr>
        <w:tc>
          <w:tcPr>
            <w:tcW w:w="444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34,234</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(8,634)</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34,449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(8,403)</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right="260" w:firstLine="445"/>
        <w:spacing w:after="0" w:line="215" w:lineRule="auto"/>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The reduction in Trademarks and other includes a $40 million impairment charge related to a tradename at Collins Aerospace resulting from an assessment of the impact of the COVID-19 pandemic performed during the quarter ended March 31, 2020.</w:t>
      </w:r>
    </w:p>
    <w:p>
      <w:pPr>
        <w:spacing w:after="0" w:line="87" w:lineRule="exact"/>
        <w:rPr>
          <w:sz w:val="20"/>
          <w:szCs w:val="20"/>
          <w:color w:val="auto"/>
        </w:rPr>
      </w:pPr>
    </w:p>
    <w:p>
      <w:pPr>
        <w:ind w:right="60" w:firstLine="445"/>
        <w:spacing w:after="0" w:line="290" w:lineRule="auto"/>
        <w:rPr>
          <w:sz w:val="20"/>
          <w:szCs w:val="20"/>
          <w:color w:val="auto"/>
        </w:rPr>
      </w:pPr>
      <w:r>
        <w:rPr>
          <w:rFonts w:ascii="Arial" w:cs="Arial" w:eastAsia="Arial" w:hAnsi="Arial"/>
          <w:sz w:val="16"/>
          <w:szCs w:val="16"/>
          <w:color w:val="auto"/>
        </w:rPr>
        <w:t>In addition to customer relationship intangible assets obtained through business combinations, customer relationship intangible assets include payments made to our customers to secure certain contractual rights. Such payments are capitalized when distinct rights are obtained and sufficient incremental cash flows to support the recoverability of the assets have been established. Otherwise, the applicable portion of the payments is expensed. We amortize these intangible assets based on the underlying pattern of economic benefit, which may result in an amortization method other than straight-line. In the aerospace industry, amortization based on the pattern of economic benefit generally results in lower amortization expense during the development period with amortization expense increasing as programs enter full production and aftermarket cycles. If a pattern of economic benefit cannot be reliably determined, a straight-line amortization method is used. We classify amortization of such payments as a reduction of sales. The collaboration intangible assets are amortized based upon the pattern of economic benefits as represented by the underlying cash flows.</w:t>
      </w:r>
    </w:p>
    <w:p>
      <w:pPr>
        <w:spacing w:after="0" w:line="57" w:lineRule="exact"/>
        <w:rPr>
          <w:sz w:val="20"/>
          <w:szCs w:val="20"/>
          <w:color w:val="auto"/>
        </w:rPr>
      </w:pPr>
    </w:p>
    <w:p>
      <w:pPr>
        <w:jc w:val="both"/>
        <w:ind w:right="20" w:firstLine="445"/>
        <w:spacing w:after="0" w:line="311" w:lineRule="auto"/>
        <w:rPr>
          <w:sz w:val="20"/>
          <w:szCs w:val="20"/>
          <w:color w:val="auto"/>
        </w:rPr>
      </w:pPr>
      <w:r>
        <w:rPr>
          <w:rFonts w:ascii="Arial" w:cs="Arial" w:eastAsia="Arial" w:hAnsi="Arial"/>
          <w:sz w:val="16"/>
          <w:szCs w:val="16"/>
          <w:color w:val="auto"/>
        </w:rPr>
        <w:t>Amortizable intangible assets are tested for impairment when events occur that indicate that the net book value will not be recovered over future cash flows. Based on our assessments performed related to COVID-19, no impairment of our amortizable intangible assets was identified as of March 31, 2020; however, we will continue to evaluate the impact on our customers and our business in future periods which may result in a different conclusion.</w:t>
      </w:r>
    </w:p>
    <w:p>
      <w:pPr>
        <w:spacing w:after="0" w:line="176" w:lineRule="exact"/>
        <w:rPr>
          <w:sz w:val="20"/>
          <w:szCs w:val="20"/>
          <w:color w:val="auto"/>
        </w:rPr>
      </w:pPr>
    </w:p>
    <w:p>
      <w:pPr>
        <w:ind w:right="20" w:firstLine="445"/>
        <w:spacing w:after="0" w:line="294" w:lineRule="auto"/>
        <w:rPr>
          <w:sz w:val="20"/>
          <w:szCs w:val="20"/>
          <w:color w:val="auto"/>
        </w:rPr>
      </w:pPr>
      <w:r>
        <w:rPr>
          <w:rFonts w:ascii="Arial" w:cs="Arial" w:eastAsia="Arial" w:hAnsi="Arial"/>
          <w:sz w:val="16"/>
          <w:szCs w:val="16"/>
          <w:color w:val="auto"/>
        </w:rPr>
        <w:t>Amortization of intangible assets for the quarters ended March 31, 2020 and 2019 were $354 million and $374 million, respectively. The following is the expected amortization of intangible assets for the years 2020 through 2025, which reflects the pattern of expected economic benefit on certain aerospace intangible assets. The table below includes the expected amortization of the intangible assets of Otis and Carrier as of March 31, 2020.</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Remaining 2020</w:t>
            </w:r>
          </w:p>
        </w:tc>
        <w:tc>
          <w:tcPr>
            <w:tcW w:w="240" w:type="dxa"/>
            <w:vAlign w:val="bottom"/>
          </w:tcPr>
          <w:p>
            <w:pPr>
              <w:spacing w:after="0"/>
              <w:rPr>
                <w:sz w:val="16"/>
                <w:szCs w:val="16"/>
                <w:color w:val="auto"/>
              </w:rPr>
            </w:pPr>
          </w:p>
        </w:tc>
        <w:tc>
          <w:tcPr>
            <w:tcW w:w="840" w:type="dxa"/>
            <w:vAlign w:val="bottom"/>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31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31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3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9"/>
              <w:spacing w:after="0"/>
              <w:rPr>
                <w:sz w:val="20"/>
                <w:szCs w:val="20"/>
                <w:color w:val="auto"/>
              </w:rPr>
            </w:pPr>
            <w:r>
              <w:rPr>
                <w:rFonts w:ascii="Arial" w:cs="Arial" w:eastAsia="Arial" w:hAnsi="Arial"/>
                <w:sz w:val="14"/>
                <w:szCs w:val="14"/>
                <w:b w:val="1"/>
                <w:bCs w:val="1"/>
                <w:color w:val="auto"/>
              </w:rPr>
              <w:t>2025</w:t>
            </w:r>
          </w:p>
        </w:tc>
      </w:tr>
      <w:tr>
        <w:trPr>
          <w:trHeight w:val="243"/>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1,036</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1,401</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1,385</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1,377</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1,347</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1,327</w:t>
            </w:r>
          </w:p>
        </w:tc>
      </w:tr>
      <w:tr>
        <w:trPr>
          <w:trHeight w:val="27"/>
        </w:trPr>
        <w:tc>
          <w:tcPr>
            <w:tcW w:w="4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Earnings Per Share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773"/>
              <w:spacing w:after="0"/>
              <w:rPr>
                <w:sz w:val="20"/>
                <w:szCs w:val="20"/>
                <w:color w:val="auto"/>
              </w:rPr>
            </w:pPr>
            <w:r>
              <w:rPr>
                <w:rFonts w:ascii="Arial" w:cs="Arial" w:eastAsia="Arial" w:hAnsi="Arial"/>
                <w:sz w:val="14"/>
                <w:szCs w:val="14"/>
                <w:b w:val="1"/>
                <w:bCs w:val="1"/>
                <w:color w:val="auto"/>
              </w:rPr>
              <w:t>Quarter Ended March 31,</w:t>
            </w:r>
          </w:p>
        </w:tc>
      </w:tr>
      <w:tr>
        <w:trPr>
          <w:trHeight w:val="196"/>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 except per share amounts; shares in millions)</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r>
      <w:tr>
        <w:trPr>
          <w:trHeight w:val="269"/>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common shareowners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1,346</w:t>
            </w:r>
          </w:p>
        </w:tc>
      </w:tr>
      <w:tr>
        <w:trPr>
          <w:trHeight w:val="237"/>
        </w:trPr>
        <w:tc>
          <w:tcPr>
            <w:tcW w:w="7840" w:type="dxa"/>
            <w:vAlign w:val="bottom"/>
          </w:tcPr>
          <w:p>
            <w:pPr>
              <w:ind w:left="20"/>
              <w:spacing w:after="0"/>
              <w:rPr>
                <w:sz w:val="20"/>
                <w:szCs w:val="20"/>
                <w:color w:val="auto"/>
              </w:rPr>
            </w:pPr>
            <w:r>
              <w:rPr>
                <w:rFonts w:ascii="Arial" w:cs="Arial" w:eastAsia="Arial" w:hAnsi="Arial"/>
                <w:sz w:val="18"/>
                <w:szCs w:val="18"/>
                <w:color w:val="auto"/>
              </w:rPr>
              <w:t>Basic weighted average number of shares outstanding</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858.4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853.2</w:t>
            </w:r>
          </w:p>
        </w:tc>
      </w:tr>
      <w:tr>
        <w:trPr>
          <w:trHeight w:val="27"/>
        </w:trPr>
        <w:tc>
          <w:tcPr>
            <w:tcW w:w="7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awards and equity units (share equivalent)</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7.5</w:t>
            </w:r>
          </w:p>
        </w:tc>
      </w:tr>
      <w:tr>
        <w:trPr>
          <w:trHeight w:val="263"/>
        </w:trPr>
        <w:tc>
          <w:tcPr>
            <w:tcW w:w="7840" w:type="dxa"/>
            <w:vAlign w:val="bottom"/>
          </w:tcPr>
          <w:p>
            <w:pPr>
              <w:ind w:left="220"/>
              <w:spacing w:after="0"/>
              <w:rPr>
                <w:sz w:val="20"/>
                <w:szCs w:val="20"/>
                <w:color w:val="auto"/>
              </w:rPr>
            </w:pPr>
            <w:r>
              <w:rPr>
                <w:rFonts w:ascii="Arial" w:cs="Arial" w:eastAsia="Arial" w:hAnsi="Arial"/>
                <w:sz w:val="18"/>
                <w:szCs w:val="18"/>
                <w:color w:val="auto"/>
              </w:rPr>
              <w:t>Diluted weighted average number of shares outstanding</w:t>
            </w: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858.4</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860.7</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7"/>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Earnings Per Share of Common Stock:</w:t>
            </w:r>
          </w:p>
        </w:tc>
        <w:tc>
          <w:tcPr>
            <w:tcW w:w="3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243"/>
        </w:trPr>
        <w:tc>
          <w:tcPr>
            <w:tcW w:w="7840" w:type="dxa"/>
            <w:vAlign w:val="bottom"/>
          </w:tcPr>
          <w:p>
            <w:pPr>
              <w:ind w:left="220"/>
              <w:spacing w:after="0"/>
              <w:rPr>
                <w:sz w:val="20"/>
                <w:szCs w:val="20"/>
                <w:color w:val="auto"/>
              </w:rPr>
            </w:pPr>
            <w:r>
              <w:rPr>
                <w:rFonts w:ascii="Arial" w:cs="Arial" w:eastAsia="Arial" w:hAnsi="Arial"/>
                <w:sz w:val="18"/>
                <w:szCs w:val="18"/>
                <w:color w:val="auto"/>
              </w:rPr>
              <w:t>Basic</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1.58</w:t>
            </w:r>
          </w:p>
        </w:tc>
      </w:tr>
      <w:tr>
        <w:trPr>
          <w:trHeight w:val="27"/>
        </w:trPr>
        <w:tc>
          <w:tcPr>
            <w:tcW w:w="7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1.56</w:t>
            </w:r>
          </w:p>
        </w:tc>
      </w:tr>
      <w:tr>
        <w:trPr>
          <w:trHeight w:val="27"/>
        </w:trPr>
        <w:tc>
          <w:tcPr>
            <w:tcW w:w="78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The computation of diluted earnings per share excludes the effect of the potential exercise of stock awards, including stock appreciation rights and stock options, when the average market price of the common stock is lower than the exercise price of the related stock awards during the period because the effect would be anti-dilutive. In addition, the computation of diluted earnings per share excludes the effect of the potential exercise of stock awards when the awards’ assumed proceeds exceed the average market price of the common shares during the period. For the quarters ended March 31, 2020 and 2019, the number of stock awards excluded from the computation was approximately 16.7 million and 12.2 million, respectively. All outstanding stock awards are excluded in the computation of diluted earnings per share in the quarter ended March 31, 2020 because their effect was antidilutive due to the loss from continuing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Accounts Receivable,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consisted of the following: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420" w:type="dxa"/>
            <w:vAlign w:val="bottom"/>
          </w:tcPr>
          <w:p>
            <w:pPr>
              <w:spacing w:after="0"/>
              <w:rPr>
                <w:sz w:val="16"/>
                <w:szCs w:val="16"/>
                <w:color w:val="auto"/>
              </w:rPr>
            </w:pPr>
          </w:p>
        </w:tc>
        <w:tc>
          <w:tcPr>
            <w:tcW w:w="2100" w:type="dxa"/>
            <w:vAlign w:val="bottom"/>
            <w:gridSpan w:val="2"/>
          </w:tcPr>
          <w:p>
            <w:pPr>
              <w:ind w:left="320"/>
              <w:spacing w:after="0"/>
              <w:rPr>
                <w:sz w:val="20"/>
                <w:szCs w:val="20"/>
                <w:color w:val="auto"/>
              </w:rPr>
            </w:pPr>
            <w:r>
              <w:rPr>
                <w:rFonts w:ascii="Arial" w:cs="Arial" w:eastAsia="Arial" w:hAnsi="Arial"/>
                <w:sz w:val="14"/>
                <w:szCs w:val="14"/>
                <w:b w:val="1"/>
                <w:bCs w:val="1"/>
                <w:color w:val="auto"/>
              </w:rPr>
              <w:t>March 31, 2020</w:t>
            </w:r>
          </w:p>
        </w:tc>
        <w:tc>
          <w:tcPr>
            <w:tcW w:w="380" w:type="dxa"/>
            <w:vAlign w:val="bottom"/>
          </w:tcPr>
          <w:p>
            <w:pPr>
              <w:spacing w:after="0"/>
              <w:rPr>
                <w:sz w:val="16"/>
                <w:szCs w:val="16"/>
                <w:color w:val="auto"/>
              </w:rPr>
            </w:pPr>
          </w:p>
        </w:tc>
        <w:tc>
          <w:tcPr>
            <w:tcW w:w="2060" w:type="dxa"/>
            <w:vAlign w:val="bottom"/>
          </w:tcPr>
          <w:p>
            <w:pPr>
              <w:jc w:val="right"/>
              <w:ind w:right="555"/>
              <w:spacing w:after="0"/>
              <w:rPr>
                <w:sz w:val="20"/>
                <w:szCs w:val="20"/>
                <w:color w:val="auto"/>
              </w:rPr>
            </w:pPr>
            <w:r>
              <w:rPr>
                <w:rFonts w:ascii="Arial" w:cs="Arial" w:eastAsia="Arial" w:hAnsi="Arial"/>
                <w:sz w:val="14"/>
                <w:szCs w:val="14"/>
                <w:b w:val="1"/>
                <w:bCs w:val="1"/>
                <w:color w:val="auto"/>
              </w:rPr>
              <w:t>December 31, 2019</w:t>
            </w:r>
          </w:p>
        </w:tc>
      </w:tr>
      <w:tr>
        <w:trPr>
          <w:trHeight w:val="250"/>
        </w:trPr>
        <w:tc>
          <w:tcPr>
            <w:tcW w:w="6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13,601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13,913</w:t>
            </w: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Allowance for expected credit losses</w:t>
            </w:r>
          </w:p>
        </w:tc>
        <w:tc>
          <w:tcPr>
            <w:tcW w:w="420" w:type="dxa"/>
            <w:vAlign w:val="bottom"/>
          </w:tcPr>
          <w:p>
            <w:pPr>
              <w:spacing w:after="0"/>
              <w:rPr>
                <w:sz w:val="21"/>
                <w:szCs w:val="21"/>
                <w:color w:val="auto"/>
              </w:rPr>
            </w:pPr>
          </w:p>
        </w:tc>
        <w:tc>
          <w:tcPr>
            <w:tcW w:w="2020" w:type="dxa"/>
            <w:vAlign w:val="bottom"/>
          </w:tcPr>
          <w:p>
            <w:pPr>
              <w:jc w:val="right"/>
              <w:ind w:right="35"/>
              <w:spacing w:after="0"/>
              <w:rPr>
                <w:sz w:val="20"/>
                <w:szCs w:val="20"/>
                <w:color w:val="auto"/>
              </w:rPr>
            </w:pPr>
            <w:r>
              <w:rPr>
                <w:rFonts w:ascii="Arial" w:cs="Arial" w:eastAsia="Arial" w:hAnsi="Arial"/>
                <w:sz w:val="18"/>
                <w:szCs w:val="18"/>
                <w:color w:val="auto"/>
              </w:rPr>
              <w:t>(497)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60" w:type="dxa"/>
            <w:vAlign w:val="bottom"/>
          </w:tcPr>
          <w:p>
            <w:pPr>
              <w:jc w:val="right"/>
              <w:ind w:right="15"/>
              <w:spacing w:after="0"/>
              <w:rPr>
                <w:sz w:val="20"/>
                <w:szCs w:val="20"/>
                <w:color w:val="auto"/>
              </w:rPr>
            </w:pPr>
            <w:r>
              <w:rPr>
                <w:rFonts w:ascii="Arial" w:cs="Arial" w:eastAsia="Arial" w:hAnsi="Arial"/>
                <w:sz w:val="18"/>
                <w:szCs w:val="18"/>
                <w:color w:val="auto"/>
              </w:rPr>
              <w:t>(389)</w:t>
            </w:r>
          </w:p>
        </w:tc>
      </w:tr>
      <w:tr>
        <w:trPr>
          <w:trHeight w:val="27"/>
        </w:trPr>
        <w:tc>
          <w:tcPr>
            <w:tcW w:w="62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accounts receivable, net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13,104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13,524</w:t>
            </w:r>
          </w:p>
        </w:tc>
      </w:tr>
      <w:tr>
        <w:trPr>
          <w:trHeight w:val="20"/>
        </w:trPr>
        <w:tc>
          <w:tcPr>
            <w:tcW w:w="6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r>
    </w:tbl>
    <w:p>
      <w:pPr>
        <w:spacing w:after="0" w:line="337"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The Company enters into various factoring agreements with third-party financial institutions to sell certain of its receivables. The Company factored receivables of $2.7 billion and $2.4 billion during the quarter ended March 31, 2020 and December 31, 2019, respectively, under these factoring arrangements, which reduced receivables. The cash received from these arrangements is reflected as cash provided by operating activities in the Condensed Consolidated Statement of Cash Flows. In certain of these factoring arrangements, for ease of administration, the Company will collect customer payments related to the factored receivables, which it then remits to the financial institutions. At March 31, 2020 and December 31, 2019, the Company had</w:t>
      </w:r>
    </w:p>
    <w:p>
      <w:pPr>
        <w:spacing w:after="0" w:line="1"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color w:val="auto"/>
        </w:rPr>
        <w:t>$32 million and $7 million, respectively, that was collected on behalf of the financial institutions and recorded as restricted cash and accrued liabilities. The net cash flows relating to these collections are reported as financing activities in the Condensed Consolidated Statement of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allowance for credit losses related to Accounts receivable for the quarter ended March 31, 2020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4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March 31, 2020</w:t>
            </w:r>
          </w:p>
        </w:tc>
      </w:tr>
      <w:tr>
        <w:trPr>
          <w:trHeight w:val="249"/>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(389)</w:t>
            </w:r>
          </w:p>
        </w:tc>
      </w:tr>
      <w:tr>
        <w:trPr>
          <w:trHeight w:val="270"/>
        </w:trPr>
        <w:tc>
          <w:tcPr>
            <w:tcW w:w="8800" w:type="dxa"/>
            <w:vAlign w:val="bottom"/>
          </w:tcPr>
          <w:p>
            <w:pPr>
              <w:ind w:left="20"/>
              <w:spacing w:after="0"/>
              <w:rPr>
                <w:sz w:val="20"/>
                <w:szCs w:val="20"/>
                <w:color w:val="auto"/>
              </w:rPr>
            </w:pPr>
            <w:r>
              <w:rPr>
                <w:rFonts w:ascii="Arial" w:cs="Arial" w:eastAsia="Arial" w:hAnsi="Arial"/>
                <w:sz w:val="18"/>
                <w:szCs w:val="18"/>
                <w:color w:val="auto"/>
              </w:rPr>
              <w:t>Current period provision for expected credit losses</w:t>
            </w:r>
            <w:r>
              <w:rPr>
                <w:rFonts w:ascii="Arial" w:cs="Arial" w:eastAsia="Arial" w:hAnsi="Arial"/>
                <w:sz w:val="23"/>
                <w:szCs w:val="23"/>
                <w:color w:val="auto"/>
                <w:vertAlign w:val="superscript"/>
              </w:rPr>
              <w:t>1</w:t>
            </w:r>
          </w:p>
        </w:tc>
        <w:tc>
          <w:tcPr>
            <w:tcW w:w="420" w:type="dxa"/>
            <w:vAlign w:val="bottom"/>
          </w:tcPr>
          <w:p>
            <w:pPr>
              <w:spacing w:after="0"/>
              <w:rPr>
                <w:sz w:val="23"/>
                <w:szCs w:val="23"/>
                <w:color w:val="auto"/>
              </w:rPr>
            </w:pPr>
          </w:p>
        </w:tc>
        <w:tc>
          <w:tcPr>
            <w:tcW w:w="2020" w:type="dxa"/>
            <w:vAlign w:val="bottom"/>
          </w:tcPr>
          <w:p>
            <w:pPr>
              <w:jc w:val="right"/>
              <w:ind w:right="13"/>
              <w:spacing w:after="0"/>
              <w:rPr>
                <w:sz w:val="20"/>
                <w:szCs w:val="20"/>
                <w:color w:val="auto"/>
              </w:rPr>
            </w:pPr>
            <w:r>
              <w:rPr>
                <w:rFonts w:ascii="Arial" w:cs="Arial" w:eastAsia="Arial" w:hAnsi="Arial"/>
                <w:sz w:val="18"/>
                <w:szCs w:val="18"/>
                <w:color w:val="auto"/>
              </w:rPr>
              <w:t>(63)</w:t>
            </w:r>
          </w:p>
        </w:tc>
      </w:tr>
      <w:tr>
        <w:trPr>
          <w:trHeight w:val="250"/>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Write-offs charged against the allowance for expected credit losses</w:t>
            </w:r>
          </w:p>
        </w:tc>
        <w:tc>
          <w:tcPr>
            <w:tcW w:w="4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w:t>
            </w:r>
          </w:p>
        </w:tc>
      </w:tr>
      <w:tr>
        <w:trPr>
          <w:trHeight w:val="270"/>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2</w:t>
            </w:r>
          </w:p>
        </w:tc>
        <w:tc>
          <w:tcPr>
            <w:tcW w:w="42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(50)</w:t>
            </w:r>
          </w:p>
        </w:tc>
      </w:tr>
      <w:tr>
        <w:trPr>
          <w:trHeight w:val="289"/>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2020</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(497)</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left="80" w:hanging="72"/>
        <w:spacing w:after="0"/>
        <w:tabs>
          <w:tab w:leader="none" w:pos="80" w:val="left"/>
        </w:tabs>
        <w:numPr>
          <w:ilvl w:val="0"/>
          <w:numId w:val="4"/>
        </w:numPr>
        <w:rPr>
          <w:rFonts w:ascii="Arial" w:cs="Arial" w:eastAsia="Arial" w:hAnsi="Arial"/>
          <w:sz w:val="19"/>
          <w:szCs w:val="19"/>
          <w:color w:val="auto"/>
          <w:vertAlign w:val="superscript"/>
        </w:rPr>
      </w:pPr>
      <w:r>
        <w:rPr>
          <w:rFonts w:ascii="Arial" w:cs="Arial" w:eastAsia="Arial" w:hAnsi="Arial"/>
          <w:sz w:val="13"/>
          <w:szCs w:val="13"/>
          <w:color w:val="auto"/>
        </w:rPr>
        <w:t>The current provision for expected credit losses includes incremental reserves related to our assessments of COVID-19 impacts of $38 million.</w:t>
      </w:r>
    </w:p>
    <w:p>
      <w:pPr>
        <w:spacing w:after="0" w:line="8" w:lineRule="exact"/>
        <w:rPr>
          <w:sz w:val="20"/>
          <w:szCs w:val="20"/>
          <w:color w:val="auto"/>
        </w:rPr>
      </w:pPr>
    </w:p>
    <w:p>
      <w:pPr>
        <w:ind w:firstLine="8"/>
        <w:spacing w:after="0" w:line="224" w:lineRule="auto"/>
        <w:tabs>
          <w:tab w:leader="none" w:pos="79" w:val="left"/>
        </w:tabs>
        <w:numPr>
          <w:ilvl w:val="0"/>
          <w:numId w:val="5"/>
        </w:numPr>
        <w:rPr>
          <w:rFonts w:ascii="Arial" w:cs="Arial" w:eastAsia="Arial" w:hAnsi="Arial"/>
          <w:sz w:val="19"/>
          <w:szCs w:val="19"/>
          <w:color w:val="auto"/>
          <w:vertAlign w:val="superscript"/>
        </w:rPr>
      </w:pPr>
      <w:r>
        <w:rPr>
          <w:rFonts w:ascii="Arial" w:cs="Arial" w:eastAsia="Arial" w:hAnsi="Arial"/>
          <w:sz w:val="13"/>
          <w:szCs w:val="13"/>
          <w:color w:val="auto"/>
        </w:rPr>
        <w:t>Other includes $64 million of impact related to the adoption of Accounting Standard Update ("ASU") 2016-13, Financial Instruments - Credit Losses (Topic 326): Measurement of Credit Losses on Financial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120"/>
        <w:spacing w:after="0" w:line="314" w:lineRule="auto"/>
        <w:rPr>
          <w:sz w:val="20"/>
          <w:szCs w:val="20"/>
          <w:color w:val="auto"/>
        </w:rPr>
      </w:pPr>
      <w:r>
        <w:rPr>
          <w:rFonts w:ascii="Arial" w:cs="Arial" w:eastAsia="Arial" w:hAnsi="Arial"/>
          <w:sz w:val="16"/>
          <w:szCs w:val="16"/>
          <w:b w:val="1"/>
          <w:bCs w:val="1"/>
          <w:color w:val="auto"/>
        </w:rPr>
        <w:t xml:space="preserve">Note 4: Contract Assets and Liabilities. </w:t>
      </w:r>
      <w:r>
        <w:rPr>
          <w:rFonts w:ascii="Arial" w:cs="Arial" w:eastAsia="Arial" w:hAnsi="Arial"/>
          <w:sz w:val="16"/>
          <w:szCs w:val="16"/>
          <w:color w:val="auto"/>
        </w:rPr>
        <w:t>Contract assets reflect revenue recognized and performance obligations satisfied in advance of customer billing.</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 liabilities relate to payments received in advance of the satisfaction of performance under the contract. We receive payments from customers based on the terms established in our contracts. Total contract assets and contract liabilities as of March 31, 2020 and December 31, 2019 are as follows:</w:t>
      </w:r>
    </w:p>
    <w:p>
      <w:pPr>
        <w:sectPr>
          <w:pgSz w:w="11900" w:h="16838" w:orient="portrait"/>
          <w:cols w:equalWidth="0" w:num="1">
            <w:col w:w="11240"/>
          </w:cols>
          <w:pgMar w:left="320" w:top="122" w:right="339" w:bottom="1440" w:gutter="0" w:footer="0" w:header="0"/>
        </w:sectPr>
      </w:pPr>
    </w:p>
    <w:p>
      <w:pPr>
        <w:spacing w:after="0" w:line="87"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Contract assets, current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Contract assets, noncurrent (included within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10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contract assets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Contract liabilities,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Contract liabilities, noncurrent</w:t>
      </w:r>
    </w:p>
    <w:p>
      <w:pPr>
        <w:spacing w:after="0" w:line="10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contract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974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contract liabilities</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4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Pr>
          <w:p>
            <w:pPr>
              <w:spacing w:after="0"/>
              <w:rPr>
                <w:sz w:val="16"/>
                <w:szCs w:val="16"/>
                <w:color w:val="auto"/>
              </w:rPr>
            </w:pPr>
          </w:p>
        </w:tc>
        <w:tc>
          <w:tcPr>
            <w:tcW w:w="1460" w:type="dxa"/>
            <w:vAlign w:val="bottom"/>
          </w:tcPr>
          <w:p>
            <w:pPr>
              <w:jc w:val="right"/>
              <w:ind w:right="132"/>
              <w:spacing w:after="0"/>
              <w:rPr>
                <w:sz w:val="20"/>
                <w:szCs w:val="20"/>
                <w:color w:val="auto"/>
              </w:rPr>
            </w:pPr>
            <w:r>
              <w:rPr>
                <w:rFonts w:ascii="Arial" w:cs="Arial" w:eastAsia="Arial" w:hAnsi="Arial"/>
                <w:sz w:val="14"/>
                <w:szCs w:val="14"/>
                <w:b w:val="1"/>
                <w:bCs w:val="1"/>
                <w:color w:val="auto"/>
                <w:w w:val="96"/>
              </w:rPr>
              <w:t>December 31, 2019</w:t>
            </w:r>
          </w:p>
        </w:tc>
      </w:tr>
      <w:tr>
        <w:trPr>
          <w:trHeight w:val="243"/>
        </w:trPr>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4,549</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4,184</w:t>
            </w:r>
          </w:p>
        </w:tc>
      </w:tr>
      <w:tr>
        <w:trPr>
          <w:trHeight w:val="270"/>
        </w:trPr>
        <w:tc>
          <w:tcPr>
            <w:tcW w:w="240" w:type="dxa"/>
            <w:vAlign w:val="bottom"/>
          </w:tcPr>
          <w:p>
            <w:pPr>
              <w:spacing w:after="0"/>
              <w:rPr>
                <w:sz w:val="23"/>
                <w:szCs w:val="23"/>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1,277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1,338</w:t>
            </w:r>
          </w:p>
        </w:tc>
      </w:tr>
      <w:tr>
        <w:trPr>
          <w:trHeight w:val="27"/>
        </w:trPr>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240" w:type="dxa"/>
            <w:vAlign w:val="bottom"/>
          </w:tcPr>
          <w:p>
            <w:pPr>
              <w:spacing w:after="0"/>
              <w:rPr>
                <w:sz w:val="20"/>
                <w:szCs w:val="20"/>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5,826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5,522</w:t>
            </w:r>
          </w:p>
        </w:tc>
      </w:tr>
      <w:tr>
        <w:trPr>
          <w:trHeight w:val="27"/>
        </w:trPr>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240" w:type="dxa"/>
            <w:vAlign w:val="bottom"/>
          </w:tcPr>
          <w:p>
            <w:pPr>
              <w:spacing w:after="0"/>
              <w:rPr>
                <w:sz w:val="20"/>
                <w:szCs w:val="20"/>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(6,384)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(6,180)</w:t>
            </w:r>
          </w:p>
        </w:tc>
      </w:tr>
      <w:tr>
        <w:trPr>
          <w:trHeight w:val="270"/>
        </w:trPr>
        <w:tc>
          <w:tcPr>
            <w:tcW w:w="240" w:type="dxa"/>
            <w:vAlign w:val="bottom"/>
          </w:tcPr>
          <w:p>
            <w:pPr>
              <w:spacing w:after="0"/>
              <w:rPr>
                <w:sz w:val="23"/>
                <w:szCs w:val="23"/>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(5,554)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(5,732)</w:t>
            </w:r>
          </w:p>
        </w:tc>
      </w:tr>
      <w:tr>
        <w:trPr>
          <w:trHeight w:val="27"/>
        </w:trPr>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240" w:type="dxa"/>
            <w:vAlign w:val="bottom"/>
          </w:tcPr>
          <w:p>
            <w:pPr>
              <w:spacing w:after="0"/>
              <w:rPr>
                <w:sz w:val="20"/>
                <w:szCs w:val="20"/>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(11,938)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(11,912)</w:t>
            </w:r>
          </w:p>
        </w:tc>
      </w:tr>
      <w:tr>
        <w:trPr>
          <w:trHeight w:val="27"/>
        </w:trPr>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(6,112)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(6,390)</w:t>
            </w:r>
          </w:p>
        </w:tc>
      </w:tr>
      <w:tr>
        <w:trPr>
          <w:trHeight w:val="27"/>
        </w:trPr>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ectPr>
          <w:pgSz w:w="11900" w:h="16838" w:orient="portrait"/>
          <w:cols w:equalWidth="0" w:num="2">
            <w:col w:w="7100" w:space="720"/>
            <w:col w:w="3420"/>
          </w:cols>
          <w:pgMar w:left="320" w:top="122" w:right="339" w:bottom="1440" w:gutter="0" w:footer="0" w:header="0"/>
          <w:type w:val="continuous"/>
        </w:sectPr>
      </w:pPr>
    </w:p>
    <w:p>
      <w:pPr>
        <w:ind w:right="100" w:firstLine="405"/>
        <w:spacing w:after="0" w:line="301" w:lineRule="auto"/>
        <w:rPr>
          <w:sz w:val="20"/>
          <w:szCs w:val="20"/>
          <w:color w:val="auto"/>
        </w:rPr>
      </w:pPr>
      <w:r>
        <w:rPr>
          <w:rFonts w:ascii="Arial" w:cs="Arial" w:eastAsia="Arial" w:hAnsi="Arial"/>
          <w:sz w:val="16"/>
          <w:szCs w:val="16"/>
          <w:color w:val="auto"/>
        </w:rPr>
        <w:t>Contract assets increased $304 million during the quarter ended March 31, 2020 due to revenue recognition in excess of customer billings, primarily on Pratt &amp; Whitney military and commercial aftermarket service agreements. Contract liabilities increased $26 million during the quarter ended March 31, 2020 due to customer billings in excess of revenue recognized at Otis of $278 million, primarily offset by a contract settlement at Pratt &amp; Whitney. We recognized revenue of $2.2 billion during the quarter ended March 31, 2020 related to contract liabilities as of December 31, 2019.</w:t>
      </w:r>
    </w:p>
    <w:p>
      <w:pPr>
        <w:spacing w:after="0" w:line="49"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Total contract assets include an allowance for credit losses of $58 million as of March 31, 2020, of which $29 million is attributed to the estimated impact of COVID-19. Changes in the allowance were not material for the quarter ended March 31, 2020.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Inventory, net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Pr>
          <w:p>
            <w:pPr>
              <w:spacing w:after="0"/>
              <w:rPr>
                <w:sz w:val="16"/>
                <w:szCs w:val="16"/>
                <w:color w:val="auto"/>
              </w:rPr>
            </w:pPr>
          </w:p>
        </w:tc>
        <w:tc>
          <w:tcPr>
            <w:tcW w:w="150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Pr>
          <w:p>
            <w:pPr>
              <w:spacing w:after="0"/>
              <w:rPr>
                <w:sz w:val="16"/>
                <w:szCs w:val="16"/>
                <w:color w:val="auto"/>
              </w:rPr>
            </w:pPr>
          </w:p>
        </w:tc>
        <w:tc>
          <w:tcPr>
            <w:tcW w:w="1460" w:type="dxa"/>
            <w:vAlign w:val="bottom"/>
          </w:tcPr>
          <w:p>
            <w:pPr>
              <w:jc w:val="right"/>
              <w:ind w:right="134"/>
              <w:spacing w:after="0"/>
              <w:rPr>
                <w:sz w:val="20"/>
                <w:szCs w:val="20"/>
                <w:color w:val="auto"/>
              </w:rPr>
            </w:pPr>
            <w:r>
              <w:rPr>
                <w:rFonts w:ascii="Arial" w:cs="Arial" w:eastAsia="Arial" w:hAnsi="Arial"/>
                <w:sz w:val="14"/>
                <w:szCs w:val="14"/>
                <w:b w:val="1"/>
                <w:bCs w:val="1"/>
                <w:color w:val="auto"/>
                <w:w w:val="96"/>
              </w:rPr>
              <w:t>December 31, 2019</w:t>
            </w:r>
          </w:p>
        </w:tc>
      </w:tr>
      <w:tr>
        <w:trPr>
          <w:trHeight w:val="250"/>
        </w:trPr>
        <w:tc>
          <w:tcPr>
            <w:tcW w:w="7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3,576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3,357</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220" w:type="dxa"/>
            <w:vAlign w:val="bottom"/>
          </w:tcPr>
          <w:p>
            <w:pPr>
              <w:spacing w:after="0"/>
              <w:rPr>
                <w:sz w:val="21"/>
                <w:szCs w:val="21"/>
                <w:color w:val="auto"/>
              </w:rPr>
            </w:pPr>
          </w:p>
        </w:tc>
        <w:tc>
          <w:tcPr>
            <w:tcW w:w="1400" w:type="dxa"/>
            <w:vAlign w:val="bottom"/>
          </w:tcPr>
          <w:p>
            <w:pPr>
              <w:jc w:val="right"/>
              <w:ind w:right="74"/>
              <w:spacing w:after="0"/>
              <w:rPr>
                <w:sz w:val="20"/>
                <w:szCs w:val="20"/>
                <w:color w:val="auto"/>
              </w:rPr>
            </w:pPr>
            <w:r>
              <w:rPr>
                <w:rFonts w:ascii="Arial" w:cs="Arial" w:eastAsia="Arial" w:hAnsi="Arial"/>
                <w:sz w:val="18"/>
                <w:szCs w:val="18"/>
                <w:color w:val="auto"/>
              </w:rPr>
              <w:t>2,850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74"/>
              <w:spacing w:after="0"/>
              <w:rPr>
                <w:sz w:val="20"/>
                <w:szCs w:val="20"/>
                <w:color w:val="auto"/>
              </w:rPr>
            </w:pPr>
            <w:r>
              <w:rPr>
                <w:rFonts w:ascii="Arial" w:cs="Arial" w:eastAsia="Arial" w:hAnsi="Arial"/>
                <w:sz w:val="18"/>
                <w:szCs w:val="18"/>
                <w:color w:val="auto"/>
              </w:rPr>
              <w:t>2,726</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5,080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4,867</w:t>
            </w:r>
          </w:p>
        </w:tc>
      </w:tr>
      <w:tr>
        <w:trPr>
          <w:trHeight w:val="237"/>
        </w:trPr>
        <w:tc>
          <w:tcPr>
            <w:tcW w:w="79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11,506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10,950</w:t>
            </w:r>
          </w:p>
        </w:tc>
      </w:tr>
      <w:tr>
        <w:trPr>
          <w:trHeight w:val="27"/>
        </w:trPr>
        <w:tc>
          <w:tcPr>
            <w:tcW w:w="7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Raw materials, work-in-process and finished goods are net of valuation reserves of $1,386 million and $1,377 million as of March 31, 2020 and December 31, 2019,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Borrowings and Lines of Credit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Pr>
          <w:p>
            <w:pPr>
              <w:spacing w:after="0"/>
              <w:rPr>
                <w:sz w:val="16"/>
                <w:szCs w:val="16"/>
                <w:color w:val="auto"/>
              </w:rPr>
            </w:pPr>
          </w:p>
        </w:tc>
        <w:tc>
          <w:tcPr>
            <w:tcW w:w="150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Pr>
          <w:p>
            <w:pPr>
              <w:spacing w:after="0"/>
              <w:rPr>
                <w:sz w:val="16"/>
                <w:szCs w:val="16"/>
                <w:color w:val="auto"/>
              </w:rPr>
            </w:pPr>
          </w:p>
        </w:tc>
        <w:tc>
          <w:tcPr>
            <w:tcW w:w="1460" w:type="dxa"/>
            <w:vAlign w:val="bottom"/>
          </w:tcPr>
          <w:p>
            <w:pPr>
              <w:jc w:val="right"/>
              <w:ind w:right="135"/>
              <w:spacing w:after="0"/>
              <w:rPr>
                <w:sz w:val="20"/>
                <w:szCs w:val="20"/>
                <w:color w:val="auto"/>
              </w:rPr>
            </w:pPr>
            <w:r>
              <w:rPr>
                <w:rFonts w:ascii="Arial" w:cs="Arial" w:eastAsia="Arial" w:hAnsi="Arial"/>
                <w:sz w:val="14"/>
                <w:szCs w:val="14"/>
                <w:b w:val="1"/>
                <w:bCs w:val="1"/>
                <w:color w:val="auto"/>
                <w:w w:val="96"/>
              </w:rPr>
              <w:t>December 31, 2019</w:t>
            </w:r>
          </w:p>
        </w:tc>
      </w:tr>
      <w:tr>
        <w:trPr>
          <w:trHeight w:val="250"/>
        </w:trPr>
        <w:tc>
          <w:tcPr>
            <w:tcW w:w="7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Other borrowings</w:t>
            </w:r>
          </w:p>
        </w:tc>
        <w:tc>
          <w:tcPr>
            <w:tcW w:w="220" w:type="dxa"/>
            <w:vAlign w:val="bottom"/>
          </w:tcPr>
          <w:p>
            <w:pPr>
              <w:spacing w:after="0"/>
              <w:rPr>
                <w:sz w:val="21"/>
                <w:szCs w:val="21"/>
                <w:color w:val="auto"/>
              </w:rPr>
            </w:pPr>
          </w:p>
        </w:tc>
        <w:tc>
          <w:tcPr>
            <w:tcW w:w="1400" w:type="dxa"/>
            <w:vAlign w:val="bottom"/>
          </w:tcPr>
          <w:p>
            <w:pPr>
              <w:jc w:val="right"/>
              <w:ind w:right="75"/>
              <w:spacing w:after="0"/>
              <w:rPr>
                <w:sz w:val="20"/>
                <w:szCs w:val="20"/>
                <w:color w:val="auto"/>
              </w:rPr>
            </w:pPr>
            <w:r>
              <w:rPr>
                <w:rFonts w:ascii="Arial" w:cs="Arial" w:eastAsia="Arial" w:hAnsi="Arial"/>
                <w:sz w:val="18"/>
                <w:szCs w:val="18"/>
                <w:color w:val="auto"/>
              </w:rPr>
              <w:t>1,225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75"/>
              <w:spacing w:after="0"/>
              <w:rPr>
                <w:sz w:val="20"/>
                <w:szCs w:val="20"/>
                <w:color w:val="auto"/>
              </w:rPr>
            </w:pPr>
            <w:r>
              <w:rPr>
                <w:rFonts w:ascii="Arial" w:cs="Arial" w:eastAsia="Arial" w:hAnsi="Arial"/>
                <w:sz w:val="18"/>
                <w:szCs w:val="18"/>
                <w:color w:val="auto"/>
              </w:rPr>
              <w:t>2,364</w:t>
            </w: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88"/>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short-term borrowings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1,725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2,364</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40" w:firstLine="445"/>
        <w:spacing w:after="0" w:line="244" w:lineRule="auto"/>
        <w:rPr>
          <w:sz w:val="20"/>
          <w:szCs w:val="20"/>
          <w:color w:val="auto"/>
        </w:rPr>
      </w:pPr>
      <w:r>
        <w:rPr>
          <w:rFonts w:ascii="Arial" w:cs="Arial" w:eastAsia="Arial" w:hAnsi="Arial"/>
          <w:sz w:val="18"/>
          <w:szCs w:val="18"/>
          <w:color w:val="auto"/>
        </w:rPr>
        <w:t>In preparation for and in anticipation of the Separation Transactions, the Distributions and the Raytheon Merger, the Company, Otis and Carrier entered into, and the Company terminated, a number of credit agreements in the quarter ended March 31, 2020.</w:t>
      </w:r>
    </w:p>
    <w:p>
      <w:pPr>
        <w:ind w:right="60" w:firstLine="445"/>
        <w:spacing w:after="0" w:line="237" w:lineRule="auto"/>
        <w:rPr>
          <w:sz w:val="20"/>
          <w:szCs w:val="20"/>
          <w:color w:val="auto"/>
        </w:rPr>
      </w:pPr>
      <w:r>
        <w:rPr>
          <w:rFonts w:ascii="Arial" w:cs="Arial" w:eastAsia="Arial" w:hAnsi="Arial"/>
          <w:sz w:val="18"/>
          <w:szCs w:val="18"/>
          <w:color w:val="auto"/>
        </w:rPr>
        <w:t>As of March 31, 2020, we had credit agreements with various banks permitting aggregate borrowings of up to $4.35 billion, including: a $2.20 billion revolving credit agreement and a $2.15 billion multicurrency revolving credit agreement, both of which were terminated on April 3, 2020 upon the completion of the Raytheon Merger. On March 16, 2020, we entered into a revolving credit agreement with various banks permitting aggregate borrowings of up to $5.0 billion which became available upon completion of the Raytheon Merger on April 3, 2020. This credit agreement matures on April 3, 2025. On May 6, 2020, we entered into a revolving credit agreement with various banks permitting aggregate borrowings of up to $2.0 billion. This credit agreement matures on May 5, 2021.</w:t>
      </w:r>
    </w:p>
    <w:p>
      <w:pPr>
        <w:spacing w:after="0" w:line="81" w:lineRule="exact"/>
        <w:rPr>
          <w:sz w:val="20"/>
          <w:szCs w:val="20"/>
          <w:color w:val="auto"/>
        </w:rPr>
      </w:pPr>
    </w:p>
    <w:p>
      <w:pPr>
        <w:ind w:right="80" w:firstLine="445"/>
        <w:spacing w:after="0" w:line="301" w:lineRule="auto"/>
        <w:rPr>
          <w:sz w:val="20"/>
          <w:szCs w:val="20"/>
          <w:color w:val="auto"/>
        </w:rPr>
      </w:pPr>
      <w:r>
        <w:rPr>
          <w:rFonts w:ascii="Arial" w:cs="Arial" w:eastAsia="Arial" w:hAnsi="Arial"/>
          <w:sz w:val="16"/>
          <w:szCs w:val="16"/>
          <w:color w:val="auto"/>
        </w:rPr>
        <w:t>As of March 31, 2020, our maximum commercial paper borrowing limit was $4.35 billion. There was $500 million of commercial paper borrowings as of March 31, 2020. We use our commercial paper borrowings for general corporate purposes, including the funding of potential acquisitions, pension contributions, debt refinancing, dividend payments and repurchases of our common stock. Generally, the need for commercial paper borrowings arises when the use of domestic cash for general corporate purposes exceeds the sum of domestic cash generation and foreign cash repatriated to the U.S.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80" w:firstLine="445"/>
        <w:spacing w:after="0" w:line="241" w:lineRule="auto"/>
        <w:rPr>
          <w:sz w:val="20"/>
          <w:szCs w:val="20"/>
          <w:color w:val="auto"/>
        </w:rPr>
      </w:pPr>
      <w:r>
        <w:rPr>
          <w:rFonts w:ascii="Arial" w:cs="Arial" w:eastAsia="Arial" w:hAnsi="Arial"/>
          <w:sz w:val="18"/>
          <w:szCs w:val="18"/>
          <w:color w:val="auto"/>
        </w:rPr>
        <w:t>On March 23, 2020, we entered into a $500 million term loan credit agreement which matures on the earlier of June 18, 2020 and the date that is 30 days after the Raytheon Merger. On March 20, 2020, we entered into a $500 million term loan credit agreement which will mature on June 18, 2020. As of March 31, 2020, we had borrowed $1.0 billion under these term loan credit agreements. On April 28, 2020, we repaid $500 million borrowed under the term loan credit agreement entered into on March 23, 2020. On May 5, 2020, we repaid $500 million borrowed under the term loan credit agreement entered into on March 20, 2020.</w:t>
      </w:r>
    </w:p>
    <w:p>
      <w:pPr>
        <w:spacing w:after="0" w:line="216" w:lineRule="exact"/>
        <w:rPr>
          <w:sz w:val="20"/>
          <w:szCs w:val="20"/>
          <w:color w:val="auto"/>
        </w:rPr>
      </w:pPr>
    </w:p>
    <w:p>
      <w:pPr>
        <w:ind w:right="60" w:firstLine="445"/>
        <w:spacing w:after="0" w:line="248" w:lineRule="auto"/>
        <w:rPr>
          <w:sz w:val="20"/>
          <w:szCs w:val="20"/>
          <w:color w:val="auto"/>
        </w:rPr>
      </w:pPr>
      <w:r>
        <w:rPr>
          <w:rFonts w:ascii="Arial" w:cs="Arial" w:eastAsia="Arial" w:hAnsi="Arial"/>
          <w:sz w:val="18"/>
          <w:szCs w:val="18"/>
          <w:color w:val="auto"/>
        </w:rPr>
        <w:t>As of March 31, 2020, Carrier entered into a revolving credit agreement with various banks permitting aggregate borrowings of up to $2.0 billion pursuant to an unsecured, unsubordinated 5-year revolving credit agreement, maturing on February 10, 2025. This credit agreement became available upon Carrier's separation on April 3, 2020.</w:t>
      </w:r>
    </w:p>
    <w:p>
      <w:pPr>
        <w:spacing w:after="0" w:line="209" w:lineRule="exact"/>
        <w:rPr>
          <w:sz w:val="20"/>
          <w:szCs w:val="20"/>
          <w:color w:val="auto"/>
        </w:rPr>
      </w:pPr>
    </w:p>
    <w:p>
      <w:pPr>
        <w:ind w:right="60" w:firstLine="445"/>
        <w:spacing w:after="0" w:line="263" w:lineRule="auto"/>
        <w:rPr>
          <w:sz w:val="20"/>
          <w:szCs w:val="20"/>
          <w:color w:val="auto"/>
        </w:rPr>
      </w:pPr>
      <w:r>
        <w:rPr>
          <w:rFonts w:ascii="Arial" w:cs="Arial" w:eastAsia="Arial" w:hAnsi="Arial"/>
          <w:sz w:val="18"/>
          <w:szCs w:val="18"/>
          <w:color w:val="auto"/>
        </w:rPr>
        <w:t>As of March 31, 2020, Otis entered into a revolving credit agreement with various banks permitting aggregate borrowings of up to $1.5 billion pursuant to an unsecured, unsubordinated 5-year revolving credit agreement, maturing on February 10, 2025. This credit agreement became available upon Otis' separation on April 3, 2020.</w:t>
      </w:r>
    </w:p>
    <w:p>
      <w:pPr>
        <w:spacing w:after="0" w:line="211"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On February 10, 2020, Otis entered into a term loan credit agreement providing for a $1.0 billion unsecured, unsubordinated 3-year loan credit agreement which matures on February 10, 2023. On March 27, 2020 Otis drew on the full amount of the term loan and distributed the full proceeds to Raytheon Technologies in connection with the separation. The borrowings under the term loan agreement are classified as long-term debt on the Condensed Consolidated Balance Sheet as of March 31, 2020.</w:t>
      </w:r>
    </w:p>
    <w:p>
      <w:pPr>
        <w:spacing w:after="0" w:line="214" w:lineRule="exact"/>
        <w:rPr>
          <w:sz w:val="20"/>
          <w:szCs w:val="20"/>
          <w:color w:val="auto"/>
        </w:rPr>
      </w:pPr>
    </w:p>
    <w:p>
      <w:pPr>
        <w:ind w:right="100" w:firstLine="445"/>
        <w:spacing w:after="0" w:line="259" w:lineRule="auto"/>
        <w:rPr>
          <w:sz w:val="20"/>
          <w:szCs w:val="20"/>
          <w:color w:val="auto"/>
        </w:rPr>
      </w:pPr>
      <w:r>
        <w:rPr>
          <w:rFonts w:ascii="Arial" w:cs="Arial" w:eastAsia="Arial" w:hAnsi="Arial"/>
          <w:sz w:val="18"/>
          <w:szCs w:val="18"/>
          <w:color w:val="auto"/>
        </w:rPr>
        <w:t>On February 10, 2020, Carrier entered into a term loan credit agreement providing for a $1.75 billion unsecured, unsubordinated 3-year loan credit agreement which matures February 10, 2023. On March 27, 2020, Carrier drew on the full amount of the term loan and distributed the full proceeds to Raytheon Technologies in connection with the separation. The borrowings under the term loan agreement is classified as long-term debt on the Condensed Consolidated Balance Sheet as of March 31, 2020.</w:t>
      </w:r>
    </w:p>
    <w:p>
      <w:pPr>
        <w:spacing w:after="0" w:line="214" w:lineRule="exact"/>
        <w:rPr>
          <w:sz w:val="20"/>
          <w:szCs w:val="20"/>
          <w:color w:val="auto"/>
        </w:rPr>
      </w:pPr>
    </w:p>
    <w:p>
      <w:pPr>
        <w:ind w:right="60" w:firstLine="445"/>
        <w:spacing w:after="0" w:line="257" w:lineRule="auto"/>
        <w:rPr>
          <w:sz w:val="20"/>
          <w:szCs w:val="20"/>
          <w:color w:val="auto"/>
        </w:rPr>
      </w:pPr>
      <w:r>
        <w:rPr>
          <w:rFonts w:ascii="Arial" w:cs="Arial" w:eastAsia="Arial" w:hAnsi="Arial"/>
          <w:sz w:val="18"/>
          <w:szCs w:val="18"/>
          <w:color w:val="auto"/>
        </w:rPr>
        <w:t>During the quarter ended March 31, 2020, we had a $2.0 billion revolving credit agreement and a $4.0 billion term loan credit agreement, both of which we entered into on March 15, 2019 and which would have matured on March 15, 2021, or if earlier, the date that is 180 days after the date on which each of the separations of Otis and Carrier have been consummated. As of December 31, 2019, there were borrowings of $2.1 billion under the $4.0 billion term credit agreement, which were repaid during the quarter ended March 31, 2020. As of March 31, 2020, the $2.0 billion revolving credit agreement and the $4.0 billion term loan credit agreement were terminated.</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6"/>
              </w:rPr>
              <w:t>December 31, 2019</w:t>
            </w:r>
          </w:p>
        </w:tc>
      </w:tr>
      <w:tr>
        <w:trPr>
          <w:trHeight w:val="27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4.875% notes due 2020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   $</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171</w:t>
            </w:r>
          </w:p>
        </w:tc>
      </w:tr>
      <w:tr>
        <w:trPr>
          <w:trHeight w:val="270"/>
        </w:trPr>
        <w:tc>
          <w:tcPr>
            <w:tcW w:w="7900" w:type="dxa"/>
            <w:vAlign w:val="bottom"/>
          </w:tcPr>
          <w:p>
            <w:pPr>
              <w:ind w:left="20"/>
              <w:spacing w:after="0"/>
              <w:rPr>
                <w:sz w:val="20"/>
                <w:szCs w:val="20"/>
                <w:color w:val="auto"/>
              </w:rPr>
            </w:pPr>
            <w:r>
              <w:rPr>
                <w:rFonts w:ascii="Arial" w:cs="Arial" w:eastAsia="Arial" w:hAnsi="Arial"/>
                <w:sz w:val="18"/>
                <w:szCs w:val="18"/>
                <w:color w:val="auto"/>
              </w:rPr>
              <w:t>4.500% notes due 2020</w:t>
            </w:r>
          </w:p>
        </w:tc>
        <w:tc>
          <w:tcPr>
            <w:tcW w:w="220" w:type="dxa"/>
            <w:vAlign w:val="bottom"/>
          </w:tcPr>
          <w:p>
            <w:pPr>
              <w:spacing w:after="0"/>
              <w:rPr>
                <w:sz w:val="23"/>
                <w:szCs w:val="23"/>
                <w:color w:val="auto"/>
              </w:rPr>
            </w:pPr>
          </w:p>
        </w:tc>
        <w:tc>
          <w:tcPr>
            <w:tcW w:w="16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1,250</w:t>
            </w:r>
          </w:p>
        </w:tc>
      </w:tr>
      <w:tr>
        <w:trPr>
          <w:trHeight w:val="27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1.900% notes due 2020</w:t>
            </w:r>
          </w:p>
        </w:tc>
        <w:tc>
          <w:tcPr>
            <w:tcW w:w="220" w:type="dxa"/>
            <w:vAlign w:val="bottom"/>
            <w:shd w:val="clear" w:color="auto" w:fill="CCEEFF"/>
          </w:tcPr>
          <w:p>
            <w:pPr>
              <w:spacing w:after="0"/>
              <w:rPr>
                <w:sz w:val="23"/>
                <w:szCs w:val="23"/>
                <w:color w:val="auto"/>
              </w:rPr>
            </w:pPr>
          </w:p>
        </w:tc>
        <w:tc>
          <w:tcPr>
            <w:tcW w:w="16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1,000</w:t>
            </w:r>
          </w:p>
        </w:tc>
      </w:tr>
      <w:tr>
        <w:trPr>
          <w:trHeight w:val="270"/>
        </w:trPr>
        <w:tc>
          <w:tcPr>
            <w:tcW w:w="7900" w:type="dxa"/>
            <w:vAlign w:val="bottom"/>
          </w:tcPr>
          <w:p>
            <w:pPr>
              <w:ind w:left="20"/>
              <w:spacing w:after="0"/>
              <w:rPr>
                <w:sz w:val="20"/>
                <w:szCs w:val="20"/>
                <w:color w:val="auto"/>
              </w:rPr>
            </w:pPr>
            <w:r>
              <w:rPr>
                <w:rFonts w:ascii="Arial" w:cs="Arial" w:eastAsia="Arial" w:hAnsi="Arial"/>
                <w:sz w:val="18"/>
                <w:szCs w:val="18"/>
                <w:color w:val="auto"/>
              </w:rPr>
              <w:t xml:space="preserve">EURIBOR plus 0.20% floating rate notes due 2020 (€750 million principal value) </w:t>
            </w:r>
            <w:r>
              <w:rPr>
                <w:rFonts w:ascii="Arial" w:cs="Arial" w:eastAsia="Arial" w:hAnsi="Arial"/>
                <w:sz w:val="23"/>
                <w:szCs w:val="23"/>
                <w:color w:val="auto"/>
                <w:vertAlign w:val="superscript"/>
              </w:rPr>
              <w:t>2</w:t>
            </w:r>
          </w:p>
        </w:tc>
        <w:tc>
          <w:tcPr>
            <w:tcW w:w="220" w:type="dxa"/>
            <w:vAlign w:val="bottom"/>
          </w:tcPr>
          <w:p>
            <w:pPr>
              <w:spacing w:after="0"/>
              <w:rPr>
                <w:sz w:val="23"/>
                <w:szCs w:val="23"/>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831</w:t>
            </w:r>
          </w:p>
        </w:tc>
      </w:tr>
      <w:tr>
        <w:trPr>
          <w:trHeight w:val="27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8.750% notes due 2021</w:t>
            </w: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250</w:t>
            </w:r>
          </w:p>
        </w:tc>
      </w:tr>
      <w:tr>
        <w:trPr>
          <w:trHeight w:val="270"/>
        </w:trPr>
        <w:tc>
          <w:tcPr>
            <w:tcW w:w="7900" w:type="dxa"/>
            <w:vAlign w:val="bottom"/>
          </w:tcPr>
          <w:p>
            <w:pPr>
              <w:ind w:left="20"/>
              <w:spacing w:after="0"/>
              <w:rPr>
                <w:sz w:val="20"/>
                <w:szCs w:val="20"/>
                <w:color w:val="auto"/>
              </w:rPr>
            </w:pPr>
            <w:r>
              <w:rPr>
                <w:rFonts w:ascii="Arial" w:cs="Arial" w:eastAsia="Arial" w:hAnsi="Arial"/>
                <w:sz w:val="18"/>
                <w:szCs w:val="18"/>
                <w:color w:val="auto"/>
              </w:rPr>
              <w:t xml:space="preserve">3.100% notes due 2021 </w:t>
            </w:r>
            <w:r>
              <w:rPr>
                <w:rFonts w:ascii="Arial" w:cs="Arial" w:eastAsia="Arial" w:hAnsi="Arial"/>
                <w:sz w:val="23"/>
                <w:szCs w:val="23"/>
                <w:color w:val="auto"/>
                <w:vertAlign w:val="superscript"/>
              </w:rPr>
              <w:t>4</w:t>
            </w:r>
          </w:p>
        </w:tc>
        <w:tc>
          <w:tcPr>
            <w:tcW w:w="220" w:type="dxa"/>
            <w:vAlign w:val="bottom"/>
          </w:tcPr>
          <w:p>
            <w:pPr>
              <w:spacing w:after="0"/>
              <w:rPr>
                <w:sz w:val="23"/>
                <w:szCs w:val="23"/>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250</w:t>
            </w:r>
          </w:p>
        </w:tc>
      </w:tr>
      <w:tr>
        <w:trPr>
          <w:trHeight w:val="27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3.350% notes due 2021</w:t>
            </w:r>
          </w:p>
        </w:tc>
        <w:tc>
          <w:tcPr>
            <w:tcW w:w="220" w:type="dxa"/>
            <w:vAlign w:val="bottom"/>
            <w:shd w:val="clear" w:color="auto" w:fill="CCEEFF"/>
          </w:tcPr>
          <w:p>
            <w:pPr>
              <w:spacing w:after="0"/>
              <w:rPr>
                <w:sz w:val="23"/>
                <w:szCs w:val="23"/>
                <w:color w:val="auto"/>
              </w:rPr>
            </w:pPr>
          </w:p>
        </w:tc>
        <w:tc>
          <w:tcPr>
            <w:tcW w:w="16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1,000</w:t>
            </w:r>
          </w:p>
        </w:tc>
      </w:tr>
      <w:tr>
        <w:trPr>
          <w:trHeight w:val="270"/>
        </w:trPr>
        <w:tc>
          <w:tcPr>
            <w:tcW w:w="7900" w:type="dxa"/>
            <w:vAlign w:val="bottom"/>
          </w:tcPr>
          <w:p>
            <w:pPr>
              <w:ind w:left="20"/>
              <w:spacing w:after="0"/>
              <w:rPr>
                <w:sz w:val="20"/>
                <w:szCs w:val="20"/>
                <w:color w:val="auto"/>
              </w:rPr>
            </w:pPr>
            <w:r>
              <w:rPr>
                <w:rFonts w:ascii="Arial" w:cs="Arial" w:eastAsia="Arial" w:hAnsi="Arial"/>
                <w:sz w:val="18"/>
                <w:szCs w:val="18"/>
                <w:color w:val="auto"/>
              </w:rPr>
              <w:t xml:space="preserve">LIBOR plus 0.650% floating rate notes due 2021 </w:t>
            </w:r>
            <w:r>
              <w:rPr>
                <w:rFonts w:ascii="Arial" w:cs="Arial" w:eastAsia="Arial" w:hAnsi="Arial"/>
                <w:sz w:val="23"/>
                <w:szCs w:val="23"/>
                <w:color w:val="auto"/>
                <w:vertAlign w:val="superscript"/>
              </w:rPr>
              <w:t>3</w:t>
            </w:r>
          </w:p>
        </w:tc>
        <w:tc>
          <w:tcPr>
            <w:tcW w:w="220" w:type="dxa"/>
            <w:vAlign w:val="bottom"/>
          </w:tcPr>
          <w:p>
            <w:pPr>
              <w:spacing w:after="0"/>
              <w:rPr>
                <w:sz w:val="23"/>
                <w:szCs w:val="23"/>
                <w:color w:val="auto"/>
              </w:rPr>
            </w:pPr>
          </w:p>
        </w:tc>
        <w:tc>
          <w:tcPr>
            <w:tcW w:w="16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750</w:t>
            </w:r>
          </w:p>
        </w:tc>
      </w:tr>
      <w:tr>
        <w:trPr>
          <w:trHeight w:val="27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1.950% notes due 2021</w:t>
            </w:r>
          </w:p>
        </w:tc>
        <w:tc>
          <w:tcPr>
            <w:tcW w:w="220" w:type="dxa"/>
            <w:vAlign w:val="bottom"/>
            <w:shd w:val="clear" w:color="auto" w:fill="CCEEFF"/>
          </w:tcPr>
          <w:p>
            <w:pPr>
              <w:spacing w:after="0"/>
              <w:rPr>
                <w:sz w:val="23"/>
                <w:szCs w:val="23"/>
                <w:color w:val="auto"/>
              </w:rPr>
            </w:pPr>
          </w:p>
        </w:tc>
        <w:tc>
          <w:tcPr>
            <w:tcW w:w="16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750</w:t>
            </w:r>
          </w:p>
        </w:tc>
      </w:tr>
      <w:tr>
        <w:trPr>
          <w:trHeight w:val="270"/>
        </w:trPr>
        <w:tc>
          <w:tcPr>
            <w:tcW w:w="7900" w:type="dxa"/>
            <w:vAlign w:val="bottom"/>
          </w:tcPr>
          <w:p>
            <w:pPr>
              <w:ind w:left="20"/>
              <w:spacing w:after="0"/>
              <w:rPr>
                <w:sz w:val="20"/>
                <w:szCs w:val="20"/>
                <w:color w:val="auto"/>
              </w:rPr>
            </w:pPr>
            <w:r>
              <w:rPr>
                <w:rFonts w:ascii="Arial" w:cs="Arial" w:eastAsia="Arial" w:hAnsi="Arial"/>
                <w:sz w:val="18"/>
                <w:szCs w:val="18"/>
                <w:color w:val="auto"/>
              </w:rPr>
              <w:t>1.125% notes due 2021 (€950 million principal value)</w:t>
            </w:r>
          </w:p>
        </w:tc>
        <w:tc>
          <w:tcPr>
            <w:tcW w:w="220" w:type="dxa"/>
            <w:vAlign w:val="bottom"/>
          </w:tcPr>
          <w:p>
            <w:pPr>
              <w:spacing w:after="0"/>
              <w:rPr>
                <w:sz w:val="23"/>
                <w:szCs w:val="23"/>
                <w:color w:val="auto"/>
              </w:rPr>
            </w:pPr>
          </w:p>
        </w:tc>
        <w:tc>
          <w:tcPr>
            <w:tcW w:w="16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1,053</w:t>
            </w:r>
          </w:p>
        </w:tc>
      </w:tr>
      <w:tr>
        <w:trPr>
          <w:trHeight w:val="27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2.300% notes due 2022</w:t>
            </w:r>
          </w:p>
        </w:tc>
        <w:tc>
          <w:tcPr>
            <w:tcW w:w="220" w:type="dxa"/>
            <w:vAlign w:val="bottom"/>
            <w:shd w:val="clear" w:color="auto" w:fill="CCEEFF"/>
          </w:tcPr>
          <w:p>
            <w:pPr>
              <w:spacing w:after="0"/>
              <w:rPr>
                <w:sz w:val="23"/>
                <w:szCs w:val="23"/>
                <w:color w:val="auto"/>
              </w:rPr>
            </w:pPr>
          </w:p>
        </w:tc>
        <w:tc>
          <w:tcPr>
            <w:tcW w:w="16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500</w:t>
            </w:r>
          </w:p>
        </w:tc>
      </w:tr>
      <w:tr>
        <w:trPr>
          <w:trHeight w:val="270"/>
        </w:trPr>
        <w:tc>
          <w:tcPr>
            <w:tcW w:w="7900" w:type="dxa"/>
            <w:vAlign w:val="bottom"/>
          </w:tcPr>
          <w:p>
            <w:pPr>
              <w:ind w:left="20"/>
              <w:spacing w:after="0"/>
              <w:rPr>
                <w:sz w:val="20"/>
                <w:szCs w:val="20"/>
                <w:color w:val="auto"/>
              </w:rPr>
            </w:pPr>
            <w:r>
              <w:rPr>
                <w:rFonts w:ascii="Arial" w:cs="Arial" w:eastAsia="Arial" w:hAnsi="Arial"/>
                <w:sz w:val="18"/>
                <w:szCs w:val="18"/>
                <w:color w:val="auto"/>
              </w:rPr>
              <w:t xml:space="preserve">2.800% notes due 2022 </w:t>
            </w:r>
            <w:r>
              <w:rPr>
                <w:rFonts w:ascii="Arial" w:cs="Arial" w:eastAsia="Arial" w:hAnsi="Arial"/>
                <w:sz w:val="23"/>
                <w:szCs w:val="23"/>
                <w:color w:val="auto"/>
                <w:vertAlign w:val="superscript"/>
              </w:rPr>
              <w:t>4</w:t>
            </w:r>
          </w:p>
        </w:tc>
        <w:tc>
          <w:tcPr>
            <w:tcW w:w="220" w:type="dxa"/>
            <w:vAlign w:val="bottom"/>
          </w:tcPr>
          <w:p>
            <w:pPr>
              <w:spacing w:after="0"/>
              <w:rPr>
                <w:sz w:val="23"/>
                <w:szCs w:val="23"/>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1,100</w:t>
            </w:r>
          </w:p>
        </w:tc>
      </w:tr>
      <w:tr>
        <w:trPr>
          <w:trHeight w:val="27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3.100% notes due 2022</w:t>
            </w:r>
          </w:p>
        </w:tc>
        <w:tc>
          <w:tcPr>
            <w:tcW w:w="220" w:type="dxa"/>
            <w:vAlign w:val="bottom"/>
            <w:shd w:val="clear" w:color="auto" w:fill="CCEEFF"/>
          </w:tcPr>
          <w:p>
            <w:pPr>
              <w:spacing w:after="0"/>
              <w:rPr>
                <w:sz w:val="23"/>
                <w:szCs w:val="23"/>
                <w:color w:val="auto"/>
              </w:rPr>
            </w:pPr>
          </w:p>
        </w:tc>
        <w:tc>
          <w:tcPr>
            <w:tcW w:w="16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2,300</w:t>
            </w:r>
          </w:p>
        </w:tc>
      </w:tr>
      <w:tr>
        <w:trPr>
          <w:trHeight w:val="270"/>
        </w:trPr>
        <w:tc>
          <w:tcPr>
            <w:tcW w:w="7900" w:type="dxa"/>
            <w:vAlign w:val="bottom"/>
          </w:tcPr>
          <w:p>
            <w:pPr>
              <w:ind w:left="20"/>
              <w:spacing w:after="0"/>
              <w:rPr>
                <w:sz w:val="20"/>
                <w:szCs w:val="20"/>
                <w:color w:val="auto"/>
              </w:rPr>
            </w:pPr>
            <w:r>
              <w:rPr>
                <w:rFonts w:ascii="Arial" w:cs="Arial" w:eastAsia="Arial" w:hAnsi="Arial"/>
                <w:sz w:val="18"/>
                <w:szCs w:val="18"/>
                <w:color w:val="auto"/>
              </w:rPr>
              <w:t xml:space="preserve">1.923% notes due 2023 </w:t>
            </w:r>
            <w:r>
              <w:rPr>
                <w:rFonts w:ascii="Arial" w:cs="Arial" w:eastAsia="Arial" w:hAnsi="Arial"/>
                <w:sz w:val="23"/>
                <w:szCs w:val="23"/>
                <w:color w:val="auto"/>
                <w:vertAlign w:val="superscript"/>
              </w:rPr>
              <w:t>6</w:t>
            </w:r>
          </w:p>
        </w:tc>
        <w:tc>
          <w:tcPr>
            <w:tcW w:w="220" w:type="dxa"/>
            <w:vAlign w:val="bottom"/>
          </w:tcPr>
          <w:p>
            <w:pPr>
              <w:spacing w:after="0"/>
              <w:rPr>
                <w:sz w:val="23"/>
                <w:szCs w:val="23"/>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LIBOR plus 1.125% Term Loan due 2023 (Otis) </w:t>
            </w:r>
            <w:r>
              <w:rPr>
                <w:rFonts w:ascii="Arial" w:cs="Arial" w:eastAsia="Arial" w:hAnsi="Arial"/>
                <w:sz w:val="23"/>
                <w:szCs w:val="23"/>
                <w:color w:val="auto"/>
                <w:vertAlign w:val="superscript"/>
              </w:rPr>
              <w:t>6</w:t>
            </w: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70"/>
        </w:trPr>
        <w:tc>
          <w:tcPr>
            <w:tcW w:w="7900" w:type="dxa"/>
            <w:vAlign w:val="bottom"/>
          </w:tcPr>
          <w:p>
            <w:pPr>
              <w:ind w:left="20"/>
              <w:spacing w:after="0"/>
              <w:rPr>
                <w:sz w:val="20"/>
                <w:szCs w:val="20"/>
                <w:color w:val="auto"/>
              </w:rPr>
            </w:pPr>
            <w:r>
              <w:rPr>
                <w:rFonts w:ascii="Arial" w:cs="Arial" w:eastAsia="Arial" w:hAnsi="Arial"/>
                <w:sz w:val="18"/>
                <w:szCs w:val="18"/>
                <w:color w:val="auto"/>
              </w:rPr>
              <w:t xml:space="preserve">LIBOR plus 0.45% floating rates due 2023 </w:t>
            </w:r>
            <w:r>
              <w:rPr>
                <w:rFonts w:ascii="Arial" w:cs="Arial" w:eastAsia="Arial" w:hAnsi="Arial"/>
                <w:sz w:val="23"/>
                <w:szCs w:val="23"/>
                <w:color w:val="auto"/>
                <w:vertAlign w:val="superscript"/>
              </w:rPr>
              <w:t>6</w:t>
            </w:r>
          </w:p>
        </w:tc>
        <w:tc>
          <w:tcPr>
            <w:tcW w:w="220" w:type="dxa"/>
            <w:vAlign w:val="bottom"/>
          </w:tcPr>
          <w:p>
            <w:pPr>
              <w:spacing w:after="0"/>
              <w:rPr>
                <w:sz w:val="23"/>
                <w:szCs w:val="23"/>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1.250% notes due 2023 (€750 million principal value)</w:t>
            </w:r>
          </w:p>
        </w:tc>
        <w:tc>
          <w:tcPr>
            <w:tcW w:w="220" w:type="dxa"/>
            <w:vAlign w:val="bottom"/>
            <w:shd w:val="clear" w:color="auto" w:fill="CCEEFF"/>
          </w:tcPr>
          <w:p>
            <w:pPr>
              <w:spacing w:after="0"/>
              <w:rPr>
                <w:sz w:val="23"/>
                <w:szCs w:val="23"/>
                <w:color w:val="auto"/>
              </w:rPr>
            </w:pPr>
          </w:p>
        </w:tc>
        <w:tc>
          <w:tcPr>
            <w:tcW w:w="16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831</w:t>
            </w:r>
          </w:p>
        </w:tc>
      </w:tr>
      <w:tr>
        <w:trPr>
          <w:trHeight w:val="352"/>
        </w:trPr>
        <w:tc>
          <w:tcPr>
            <w:tcW w:w="7900" w:type="dxa"/>
            <w:vAlign w:val="bottom"/>
          </w:tcPr>
          <w:p>
            <w:pPr>
              <w:ind w:left="20"/>
              <w:spacing w:after="0"/>
              <w:rPr>
                <w:sz w:val="20"/>
                <w:szCs w:val="20"/>
                <w:color w:val="auto"/>
              </w:rPr>
            </w:pPr>
            <w:r>
              <w:rPr>
                <w:rFonts w:ascii="Arial" w:cs="Arial" w:eastAsia="Arial" w:hAnsi="Arial"/>
                <w:sz w:val="18"/>
                <w:szCs w:val="18"/>
                <w:color w:val="auto"/>
              </w:rPr>
              <w:t xml:space="preserve">LIBOR plus 1.125% Term Loan due 2023 (Carrier) </w:t>
            </w:r>
            <w:r>
              <w:rPr>
                <w:rFonts w:ascii="Arial" w:cs="Arial" w:eastAsia="Arial" w:hAnsi="Arial"/>
                <w:sz w:val="23"/>
                <w:szCs w:val="23"/>
                <w:color w:val="auto"/>
                <w:vertAlign w:val="superscript"/>
              </w:rPr>
              <w:t>6</w:t>
            </w:r>
          </w:p>
        </w:tc>
        <w:tc>
          <w:tcPr>
            <w:tcW w:w="220" w:type="dxa"/>
            <w:vAlign w:val="bottom"/>
          </w:tcPr>
          <w:p>
            <w:pPr>
              <w:spacing w:after="0"/>
              <w:rPr>
                <w:sz w:val="24"/>
                <w:szCs w:val="24"/>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3.650% notes due 2023 </w:t>
            </w:r>
            <w:r>
              <w:rPr>
                <w:rFonts w:ascii="Arial" w:cs="Arial" w:eastAsia="Arial" w:hAnsi="Arial"/>
                <w:sz w:val="23"/>
                <w:szCs w:val="23"/>
                <w:color w:val="auto"/>
                <w:vertAlign w:val="superscript"/>
              </w:rPr>
              <w:t>1</w:t>
            </w: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581</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2,250</w:t>
            </w:r>
          </w:p>
        </w:tc>
      </w:tr>
      <w:tr>
        <w:trPr>
          <w:trHeight w:val="270"/>
        </w:trPr>
        <w:tc>
          <w:tcPr>
            <w:tcW w:w="7900" w:type="dxa"/>
            <w:vAlign w:val="bottom"/>
          </w:tcPr>
          <w:p>
            <w:pPr>
              <w:ind w:left="20"/>
              <w:spacing w:after="0"/>
              <w:rPr>
                <w:sz w:val="20"/>
                <w:szCs w:val="20"/>
                <w:color w:val="auto"/>
              </w:rPr>
            </w:pPr>
            <w:r>
              <w:rPr>
                <w:rFonts w:ascii="Arial" w:cs="Arial" w:eastAsia="Arial" w:hAnsi="Arial"/>
                <w:sz w:val="18"/>
                <w:szCs w:val="18"/>
                <w:color w:val="auto"/>
              </w:rPr>
              <w:t xml:space="preserve">3.700% notes due 2023 </w:t>
            </w:r>
            <w:r>
              <w:rPr>
                <w:rFonts w:ascii="Arial" w:cs="Arial" w:eastAsia="Arial" w:hAnsi="Arial"/>
                <w:sz w:val="23"/>
                <w:szCs w:val="23"/>
                <w:color w:val="auto"/>
                <w:vertAlign w:val="superscript"/>
              </w:rPr>
              <w:t>4</w:t>
            </w:r>
          </w:p>
        </w:tc>
        <w:tc>
          <w:tcPr>
            <w:tcW w:w="5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400</w:t>
            </w:r>
          </w:p>
        </w:tc>
      </w:tr>
      <w:tr>
        <w:trPr>
          <w:trHeight w:val="27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2.800% notes due 2024</w:t>
            </w:r>
          </w:p>
        </w:tc>
        <w:tc>
          <w:tcPr>
            <w:tcW w:w="5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800</w:t>
            </w:r>
          </w:p>
        </w:tc>
      </w:tr>
      <w:tr>
        <w:trPr>
          <w:trHeight w:val="270"/>
        </w:trPr>
        <w:tc>
          <w:tcPr>
            <w:tcW w:w="7900" w:type="dxa"/>
            <w:vAlign w:val="bottom"/>
          </w:tcPr>
          <w:p>
            <w:pPr>
              <w:ind w:left="20"/>
              <w:spacing w:after="0"/>
              <w:rPr>
                <w:sz w:val="20"/>
                <w:szCs w:val="20"/>
                <w:color w:val="auto"/>
              </w:rPr>
            </w:pPr>
            <w:r>
              <w:rPr>
                <w:rFonts w:ascii="Arial" w:cs="Arial" w:eastAsia="Arial" w:hAnsi="Arial"/>
                <w:sz w:val="18"/>
                <w:szCs w:val="18"/>
                <w:color w:val="auto"/>
              </w:rPr>
              <w:t xml:space="preserve">3.200% notes due 2024 </w:t>
            </w:r>
            <w:r>
              <w:rPr>
                <w:rFonts w:ascii="Arial" w:cs="Arial" w:eastAsia="Arial" w:hAnsi="Arial"/>
                <w:sz w:val="23"/>
                <w:szCs w:val="23"/>
                <w:color w:val="auto"/>
                <w:vertAlign w:val="superscript"/>
              </w:rPr>
              <w:t>4</w:t>
            </w:r>
          </w:p>
        </w:tc>
        <w:tc>
          <w:tcPr>
            <w:tcW w:w="5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950</w:t>
            </w:r>
          </w:p>
        </w:tc>
      </w:tr>
      <w:tr>
        <w:trPr>
          <w:trHeight w:val="27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1.150% notes due 2024 (€750 million principal value)</w:t>
            </w:r>
          </w:p>
        </w:tc>
        <w:tc>
          <w:tcPr>
            <w:tcW w:w="5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831</w:t>
            </w:r>
          </w:p>
        </w:tc>
      </w:tr>
      <w:tr>
        <w:trPr>
          <w:trHeight w:val="270"/>
        </w:trPr>
        <w:tc>
          <w:tcPr>
            <w:tcW w:w="7900" w:type="dxa"/>
            <w:vAlign w:val="bottom"/>
          </w:tcPr>
          <w:p>
            <w:pPr>
              <w:ind w:left="20"/>
              <w:spacing w:after="0"/>
              <w:rPr>
                <w:sz w:val="20"/>
                <w:szCs w:val="20"/>
                <w:color w:val="auto"/>
              </w:rPr>
            </w:pPr>
            <w:r>
              <w:rPr>
                <w:rFonts w:ascii="Arial" w:cs="Arial" w:eastAsia="Arial" w:hAnsi="Arial"/>
                <w:sz w:val="18"/>
                <w:szCs w:val="18"/>
                <w:color w:val="auto"/>
              </w:rPr>
              <w:t xml:space="preserve">2.056% notes due 2025 </w:t>
            </w:r>
            <w:r>
              <w:rPr>
                <w:rFonts w:ascii="Arial" w:cs="Arial" w:eastAsia="Arial" w:hAnsi="Arial"/>
                <w:sz w:val="23"/>
                <w:szCs w:val="23"/>
                <w:color w:val="auto"/>
                <w:vertAlign w:val="superscript"/>
              </w:rPr>
              <w:t>6</w:t>
            </w:r>
          </w:p>
        </w:tc>
        <w:tc>
          <w:tcPr>
            <w:tcW w:w="5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2.242% notes due 2025 </w:t>
            </w:r>
            <w:r>
              <w:rPr>
                <w:rFonts w:ascii="Arial" w:cs="Arial" w:eastAsia="Arial" w:hAnsi="Arial"/>
                <w:sz w:val="23"/>
                <w:szCs w:val="23"/>
                <w:color w:val="auto"/>
                <w:vertAlign w:val="superscript"/>
              </w:rPr>
              <w:t>6</w:t>
            </w: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7900" w:type="dxa"/>
            <w:vAlign w:val="bottom"/>
          </w:tcPr>
          <w:p>
            <w:pPr>
              <w:ind w:left="20"/>
              <w:spacing w:after="0"/>
              <w:rPr>
                <w:sz w:val="20"/>
                <w:szCs w:val="20"/>
                <w:color w:val="auto"/>
              </w:rPr>
            </w:pPr>
            <w:r>
              <w:rPr>
                <w:rFonts w:ascii="Arial" w:cs="Arial" w:eastAsia="Arial" w:hAnsi="Arial"/>
                <w:sz w:val="18"/>
                <w:szCs w:val="18"/>
                <w:color w:val="auto"/>
              </w:rPr>
              <w:t xml:space="preserve">3.950% notes due 2025 </w:t>
            </w:r>
            <w:r>
              <w:rPr>
                <w:rFonts w:ascii="Arial" w:cs="Arial" w:eastAsia="Arial" w:hAnsi="Arial"/>
                <w:sz w:val="23"/>
                <w:szCs w:val="23"/>
                <w:color w:val="auto"/>
                <w:vertAlign w:val="superscript"/>
              </w:rPr>
              <w:t>1</w:t>
            </w:r>
          </w:p>
        </w:tc>
        <w:tc>
          <w:tcPr>
            <w:tcW w:w="5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1,500</w:t>
            </w:r>
          </w:p>
        </w:tc>
      </w:tr>
      <w:tr>
        <w:trPr>
          <w:trHeight w:val="27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1.875% notes due 2026 (€500 million principal value)</w:t>
            </w:r>
          </w:p>
        </w:tc>
        <w:tc>
          <w:tcPr>
            <w:tcW w:w="5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554</w:t>
            </w:r>
          </w:p>
        </w:tc>
      </w:tr>
      <w:tr>
        <w:trPr>
          <w:trHeight w:val="270"/>
        </w:trPr>
        <w:tc>
          <w:tcPr>
            <w:tcW w:w="7900" w:type="dxa"/>
            <w:vAlign w:val="bottom"/>
          </w:tcPr>
          <w:p>
            <w:pPr>
              <w:ind w:left="20"/>
              <w:spacing w:after="0"/>
              <w:rPr>
                <w:sz w:val="20"/>
                <w:szCs w:val="20"/>
                <w:color w:val="auto"/>
              </w:rPr>
            </w:pPr>
            <w:r>
              <w:rPr>
                <w:rFonts w:ascii="Arial" w:cs="Arial" w:eastAsia="Arial" w:hAnsi="Arial"/>
                <w:sz w:val="18"/>
                <w:szCs w:val="18"/>
                <w:color w:val="auto"/>
              </w:rPr>
              <w:t xml:space="preserve">2.650% notes due 2026 </w:t>
            </w:r>
            <w:r>
              <w:rPr>
                <w:rFonts w:ascii="Arial" w:cs="Arial" w:eastAsia="Arial" w:hAnsi="Arial"/>
                <w:sz w:val="23"/>
                <w:szCs w:val="23"/>
                <w:color w:val="auto"/>
                <w:vertAlign w:val="superscript"/>
              </w:rPr>
              <w:t>1</w:t>
            </w:r>
          </w:p>
        </w:tc>
        <w:tc>
          <w:tcPr>
            <w:tcW w:w="5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1,150</w:t>
            </w:r>
          </w:p>
        </w:tc>
      </w:tr>
      <w:tr>
        <w:trPr>
          <w:trHeight w:val="27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2.293% notes due 2027 </w:t>
            </w:r>
            <w:r>
              <w:rPr>
                <w:rFonts w:ascii="Arial" w:cs="Arial" w:eastAsia="Arial" w:hAnsi="Arial"/>
                <w:sz w:val="23"/>
                <w:szCs w:val="23"/>
                <w:color w:val="auto"/>
                <w:vertAlign w:val="superscript"/>
              </w:rPr>
              <w:t>6</w:t>
            </w: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7900" w:type="dxa"/>
            <w:vAlign w:val="bottom"/>
          </w:tcPr>
          <w:p>
            <w:pPr>
              <w:ind w:left="20"/>
              <w:spacing w:after="0"/>
              <w:rPr>
                <w:sz w:val="20"/>
                <w:szCs w:val="20"/>
                <w:color w:val="auto"/>
              </w:rPr>
            </w:pPr>
            <w:r>
              <w:rPr>
                <w:rFonts w:ascii="Arial" w:cs="Arial" w:eastAsia="Arial" w:hAnsi="Arial"/>
                <w:sz w:val="18"/>
                <w:szCs w:val="18"/>
                <w:color w:val="auto"/>
              </w:rPr>
              <w:t xml:space="preserve">2.493% notes due 2027 </w:t>
            </w:r>
            <w:r>
              <w:rPr>
                <w:rFonts w:ascii="Arial" w:cs="Arial" w:eastAsia="Arial" w:hAnsi="Arial"/>
                <w:sz w:val="23"/>
                <w:szCs w:val="23"/>
                <w:color w:val="auto"/>
                <w:vertAlign w:val="superscript"/>
              </w:rPr>
              <w:t>6</w:t>
            </w:r>
          </w:p>
        </w:tc>
        <w:tc>
          <w:tcPr>
            <w:tcW w:w="5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3.125% notes due 2027 </w:t>
            </w:r>
            <w:r>
              <w:rPr>
                <w:rFonts w:ascii="Arial" w:cs="Arial" w:eastAsia="Arial" w:hAnsi="Arial"/>
                <w:sz w:val="23"/>
                <w:szCs w:val="23"/>
                <w:color w:val="auto"/>
                <w:vertAlign w:val="superscript"/>
              </w:rPr>
              <w:t>1</w:t>
            </w: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1,100</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1,100</w:t>
            </w:r>
          </w:p>
        </w:tc>
      </w:tr>
      <w:tr>
        <w:trPr>
          <w:trHeight w:val="270"/>
        </w:trPr>
        <w:tc>
          <w:tcPr>
            <w:tcW w:w="7900" w:type="dxa"/>
            <w:vAlign w:val="bottom"/>
          </w:tcPr>
          <w:p>
            <w:pPr>
              <w:ind w:left="20"/>
              <w:spacing w:after="0"/>
              <w:rPr>
                <w:sz w:val="20"/>
                <w:szCs w:val="20"/>
                <w:color w:val="auto"/>
              </w:rPr>
            </w:pPr>
            <w:r>
              <w:rPr>
                <w:rFonts w:ascii="Arial" w:cs="Arial" w:eastAsia="Arial" w:hAnsi="Arial"/>
                <w:sz w:val="18"/>
                <w:szCs w:val="18"/>
                <w:color w:val="auto"/>
              </w:rPr>
              <w:t xml:space="preserve">3.500% notes due 2027 </w:t>
            </w:r>
            <w:r>
              <w:rPr>
                <w:rFonts w:ascii="Arial" w:cs="Arial" w:eastAsia="Arial" w:hAnsi="Arial"/>
                <w:sz w:val="23"/>
                <w:szCs w:val="23"/>
                <w:color w:val="auto"/>
                <w:vertAlign w:val="superscript"/>
              </w:rPr>
              <w:t>4</w:t>
            </w:r>
          </w:p>
        </w:tc>
        <w:tc>
          <w:tcPr>
            <w:tcW w:w="5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1,300</w:t>
            </w:r>
          </w:p>
        </w:tc>
      </w:tr>
      <w:tr>
        <w:trPr>
          <w:trHeight w:val="27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7.100% notes due 2027</w:t>
            </w: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141</w:t>
            </w:r>
          </w:p>
        </w:tc>
      </w:tr>
      <w:tr>
        <w:trPr>
          <w:trHeight w:val="270"/>
        </w:trPr>
        <w:tc>
          <w:tcPr>
            <w:tcW w:w="7900" w:type="dxa"/>
            <w:vAlign w:val="bottom"/>
          </w:tcPr>
          <w:p>
            <w:pPr>
              <w:ind w:left="20"/>
              <w:spacing w:after="0"/>
              <w:rPr>
                <w:sz w:val="20"/>
                <w:szCs w:val="20"/>
                <w:color w:val="auto"/>
              </w:rPr>
            </w:pPr>
            <w:r>
              <w:rPr>
                <w:rFonts w:ascii="Arial" w:cs="Arial" w:eastAsia="Arial" w:hAnsi="Arial"/>
                <w:sz w:val="18"/>
                <w:szCs w:val="18"/>
                <w:color w:val="auto"/>
              </w:rPr>
              <w:t>6.700% notes due 2028</w:t>
            </w:r>
          </w:p>
        </w:tc>
        <w:tc>
          <w:tcPr>
            <w:tcW w:w="5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400</w:t>
            </w:r>
          </w:p>
        </w:tc>
      </w:tr>
      <w:tr>
        <w:trPr>
          <w:trHeight w:val="27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4.125% notes due 2028 </w:t>
            </w:r>
            <w:r>
              <w:rPr>
                <w:rFonts w:ascii="Arial" w:cs="Arial" w:eastAsia="Arial" w:hAnsi="Arial"/>
                <w:sz w:val="23"/>
                <w:szCs w:val="23"/>
                <w:color w:val="auto"/>
                <w:vertAlign w:val="superscript"/>
              </w:rPr>
              <w:t>1</w:t>
            </w: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3,000</w:t>
            </w:r>
          </w:p>
        </w:tc>
      </w:tr>
      <w:tr>
        <w:trPr>
          <w:trHeight w:val="270"/>
        </w:trPr>
        <w:tc>
          <w:tcPr>
            <w:tcW w:w="7900" w:type="dxa"/>
            <w:vAlign w:val="bottom"/>
          </w:tcPr>
          <w:p>
            <w:pPr>
              <w:ind w:left="20"/>
              <w:spacing w:after="0"/>
              <w:rPr>
                <w:sz w:val="20"/>
                <w:szCs w:val="20"/>
                <w:color w:val="auto"/>
              </w:rPr>
            </w:pPr>
            <w:r>
              <w:rPr>
                <w:rFonts w:ascii="Arial" w:cs="Arial" w:eastAsia="Arial" w:hAnsi="Arial"/>
                <w:sz w:val="18"/>
                <w:szCs w:val="18"/>
                <w:color w:val="auto"/>
              </w:rPr>
              <w:t xml:space="preserve">7.500% notes due 2029 </w:t>
            </w:r>
            <w:r>
              <w:rPr>
                <w:rFonts w:ascii="Arial" w:cs="Arial" w:eastAsia="Arial" w:hAnsi="Arial"/>
                <w:sz w:val="23"/>
                <w:szCs w:val="23"/>
                <w:color w:val="auto"/>
                <w:vertAlign w:val="superscript"/>
              </w:rPr>
              <w:t>1</w:t>
            </w:r>
          </w:p>
        </w:tc>
        <w:tc>
          <w:tcPr>
            <w:tcW w:w="5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550</w:t>
            </w:r>
          </w:p>
        </w:tc>
      </w:tr>
      <w:tr>
        <w:trPr>
          <w:trHeight w:val="27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2.150% notes due 2030 (€500 million principal value) </w:t>
            </w:r>
            <w:r>
              <w:rPr>
                <w:rFonts w:ascii="Arial" w:cs="Arial" w:eastAsia="Arial" w:hAnsi="Arial"/>
                <w:sz w:val="23"/>
                <w:szCs w:val="23"/>
                <w:color w:val="auto"/>
                <w:vertAlign w:val="superscript"/>
              </w:rPr>
              <w:t>1</w:t>
            </w: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549</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554</w:t>
            </w:r>
          </w:p>
        </w:tc>
      </w:tr>
      <w:tr>
        <w:trPr>
          <w:trHeight w:val="270"/>
        </w:trPr>
        <w:tc>
          <w:tcPr>
            <w:tcW w:w="7900" w:type="dxa"/>
            <w:vAlign w:val="bottom"/>
          </w:tcPr>
          <w:p>
            <w:pPr>
              <w:ind w:left="20"/>
              <w:spacing w:after="0"/>
              <w:rPr>
                <w:sz w:val="20"/>
                <w:szCs w:val="20"/>
                <w:color w:val="auto"/>
              </w:rPr>
            </w:pPr>
            <w:r>
              <w:rPr>
                <w:rFonts w:ascii="Arial" w:cs="Arial" w:eastAsia="Arial" w:hAnsi="Arial"/>
                <w:sz w:val="18"/>
                <w:szCs w:val="18"/>
                <w:color w:val="auto"/>
              </w:rPr>
              <w:t xml:space="preserve">2.565% notes due 2030 </w:t>
            </w:r>
            <w:r>
              <w:rPr>
                <w:rFonts w:ascii="Arial" w:cs="Arial" w:eastAsia="Arial" w:hAnsi="Arial"/>
                <w:sz w:val="23"/>
                <w:szCs w:val="23"/>
                <w:color w:val="auto"/>
                <w:vertAlign w:val="superscript"/>
              </w:rPr>
              <w:t>6</w:t>
            </w:r>
          </w:p>
        </w:tc>
        <w:tc>
          <w:tcPr>
            <w:tcW w:w="5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2.722% notes due 2030 </w:t>
            </w:r>
            <w:r>
              <w:rPr>
                <w:rFonts w:ascii="Arial" w:cs="Arial" w:eastAsia="Arial" w:hAnsi="Arial"/>
                <w:sz w:val="23"/>
                <w:szCs w:val="23"/>
                <w:color w:val="auto"/>
                <w:vertAlign w:val="superscript"/>
              </w:rPr>
              <w:t>6</w:t>
            </w: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7900" w:type="dxa"/>
            <w:vAlign w:val="bottom"/>
          </w:tcPr>
          <w:p>
            <w:pPr>
              <w:ind w:left="20"/>
              <w:spacing w:after="0"/>
              <w:rPr>
                <w:sz w:val="20"/>
                <w:szCs w:val="20"/>
                <w:color w:val="auto"/>
              </w:rPr>
            </w:pPr>
            <w:r>
              <w:rPr>
                <w:rFonts w:ascii="Arial" w:cs="Arial" w:eastAsia="Arial" w:hAnsi="Arial"/>
                <w:sz w:val="18"/>
                <w:szCs w:val="18"/>
                <w:color w:val="auto"/>
              </w:rPr>
              <w:t xml:space="preserve">5.400% notes due 2035 </w:t>
            </w:r>
            <w:r>
              <w:rPr>
                <w:rFonts w:ascii="Arial" w:cs="Arial" w:eastAsia="Arial" w:hAnsi="Arial"/>
                <w:sz w:val="23"/>
                <w:szCs w:val="23"/>
                <w:color w:val="auto"/>
                <w:vertAlign w:val="superscript"/>
              </w:rPr>
              <w:t>1</w:t>
            </w:r>
          </w:p>
        </w:tc>
        <w:tc>
          <w:tcPr>
            <w:tcW w:w="5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600</w:t>
            </w:r>
          </w:p>
        </w:tc>
      </w:tr>
      <w:tr>
        <w:trPr>
          <w:trHeight w:val="27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6.050% notes due 2036 </w:t>
            </w:r>
            <w:r>
              <w:rPr>
                <w:rFonts w:ascii="Arial" w:cs="Arial" w:eastAsia="Arial" w:hAnsi="Arial"/>
                <w:sz w:val="23"/>
                <w:szCs w:val="23"/>
                <w:color w:val="auto"/>
                <w:vertAlign w:val="superscript"/>
              </w:rPr>
              <w:t>1</w:t>
            </w: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600</w:t>
            </w:r>
          </w:p>
        </w:tc>
      </w:tr>
      <w:tr>
        <w:trPr>
          <w:trHeight w:val="270"/>
        </w:trPr>
        <w:tc>
          <w:tcPr>
            <w:tcW w:w="7900" w:type="dxa"/>
            <w:vAlign w:val="bottom"/>
          </w:tcPr>
          <w:p>
            <w:pPr>
              <w:ind w:left="20"/>
              <w:spacing w:after="0"/>
              <w:rPr>
                <w:sz w:val="20"/>
                <w:szCs w:val="20"/>
                <w:color w:val="auto"/>
              </w:rPr>
            </w:pPr>
            <w:r>
              <w:rPr>
                <w:rFonts w:ascii="Arial" w:cs="Arial" w:eastAsia="Arial" w:hAnsi="Arial"/>
                <w:sz w:val="18"/>
                <w:szCs w:val="18"/>
                <w:color w:val="auto"/>
              </w:rPr>
              <w:t xml:space="preserve">6.800% notes due 2036 </w:t>
            </w:r>
            <w:r>
              <w:rPr>
                <w:rFonts w:ascii="Arial" w:cs="Arial" w:eastAsia="Arial" w:hAnsi="Arial"/>
                <w:sz w:val="23"/>
                <w:szCs w:val="23"/>
                <w:color w:val="auto"/>
                <w:vertAlign w:val="superscript"/>
              </w:rPr>
              <w:t>1</w:t>
            </w:r>
          </w:p>
        </w:tc>
        <w:tc>
          <w:tcPr>
            <w:tcW w:w="5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134</w:t>
            </w: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7.000% notes due 2038</w:t>
            </w: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159</w:t>
            </w:r>
          </w:p>
        </w:tc>
      </w:tr>
      <w:tr>
        <w:trPr>
          <w:trHeight w:val="270"/>
        </w:trPr>
        <w:tc>
          <w:tcPr>
            <w:tcW w:w="7900" w:type="dxa"/>
            <w:vAlign w:val="bottom"/>
          </w:tcPr>
          <w:p>
            <w:pPr>
              <w:ind w:left="20"/>
              <w:spacing w:after="0"/>
              <w:rPr>
                <w:sz w:val="20"/>
                <w:szCs w:val="20"/>
                <w:color w:val="auto"/>
              </w:rPr>
            </w:pPr>
            <w:r>
              <w:rPr>
                <w:rFonts w:ascii="Arial" w:cs="Arial" w:eastAsia="Arial" w:hAnsi="Arial"/>
                <w:sz w:val="18"/>
                <w:szCs w:val="18"/>
                <w:color w:val="auto"/>
              </w:rPr>
              <w:t xml:space="preserve">6.125% notes due 2038 </w:t>
            </w:r>
            <w:r>
              <w:rPr>
                <w:rFonts w:ascii="Arial" w:cs="Arial" w:eastAsia="Arial" w:hAnsi="Arial"/>
                <w:sz w:val="23"/>
                <w:szCs w:val="23"/>
                <w:color w:val="auto"/>
                <w:vertAlign w:val="superscript"/>
              </w:rPr>
              <w:t>1</w:t>
            </w:r>
          </w:p>
        </w:tc>
        <w:tc>
          <w:tcPr>
            <w:tcW w:w="5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1,000</w:t>
            </w:r>
          </w:p>
        </w:tc>
      </w:tr>
      <w:tr>
        <w:trPr>
          <w:trHeight w:val="27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4.450% notes due 2038 </w:t>
            </w:r>
            <w:r>
              <w:rPr>
                <w:rFonts w:ascii="Arial" w:cs="Arial" w:eastAsia="Arial" w:hAnsi="Arial"/>
                <w:sz w:val="23"/>
                <w:szCs w:val="23"/>
                <w:color w:val="auto"/>
                <w:vertAlign w:val="superscript"/>
              </w:rPr>
              <w:t>1</w:t>
            </w: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750</w:t>
            </w:r>
          </w:p>
        </w:tc>
      </w:tr>
      <w:tr>
        <w:trPr>
          <w:trHeight w:val="270"/>
        </w:trPr>
        <w:tc>
          <w:tcPr>
            <w:tcW w:w="7900" w:type="dxa"/>
            <w:vAlign w:val="bottom"/>
          </w:tcPr>
          <w:p>
            <w:pPr>
              <w:ind w:left="20"/>
              <w:spacing w:after="0"/>
              <w:rPr>
                <w:sz w:val="20"/>
                <w:szCs w:val="20"/>
                <w:color w:val="auto"/>
              </w:rPr>
            </w:pPr>
            <w:r>
              <w:rPr>
                <w:rFonts w:ascii="Arial" w:cs="Arial" w:eastAsia="Arial" w:hAnsi="Arial"/>
                <w:sz w:val="18"/>
                <w:szCs w:val="18"/>
                <w:color w:val="auto"/>
              </w:rPr>
              <w:t xml:space="preserve">3.112% notes due 2040 </w:t>
            </w:r>
            <w:r>
              <w:rPr>
                <w:rFonts w:ascii="Arial" w:cs="Arial" w:eastAsia="Arial" w:hAnsi="Arial"/>
                <w:sz w:val="23"/>
                <w:szCs w:val="23"/>
                <w:color w:val="auto"/>
                <w:vertAlign w:val="superscript"/>
              </w:rPr>
              <w:t>6</w:t>
            </w:r>
          </w:p>
        </w:tc>
        <w:tc>
          <w:tcPr>
            <w:tcW w:w="5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3.377% notes due 2040 </w:t>
            </w:r>
            <w:r>
              <w:rPr>
                <w:rFonts w:ascii="Arial" w:cs="Arial" w:eastAsia="Arial" w:hAnsi="Arial"/>
                <w:sz w:val="23"/>
                <w:szCs w:val="23"/>
                <w:color w:val="auto"/>
                <w:vertAlign w:val="superscript"/>
              </w:rPr>
              <w:t>6</w:t>
            </w: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7900" w:type="dxa"/>
            <w:vAlign w:val="bottom"/>
          </w:tcPr>
          <w:p>
            <w:pPr>
              <w:ind w:left="20"/>
              <w:spacing w:after="0"/>
              <w:rPr>
                <w:sz w:val="20"/>
                <w:szCs w:val="20"/>
                <w:color w:val="auto"/>
              </w:rPr>
            </w:pPr>
            <w:r>
              <w:rPr>
                <w:rFonts w:ascii="Arial" w:cs="Arial" w:eastAsia="Arial" w:hAnsi="Arial"/>
                <w:sz w:val="18"/>
                <w:szCs w:val="18"/>
                <w:color w:val="auto"/>
              </w:rPr>
              <w:t xml:space="preserve">5.700% notes due 2040 </w:t>
            </w:r>
            <w:r>
              <w:rPr>
                <w:rFonts w:ascii="Arial" w:cs="Arial" w:eastAsia="Arial" w:hAnsi="Arial"/>
                <w:sz w:val="23"/>
                <w:szCs w:val="23"/>
                <w:color w:val="auto"/>
                <w:vertAlign w:val="superscript"/>
              </w:rPr>
              <w:t>1</w:t>
            </w:r>
          </w:p>
        </w:tc>
        <w:tc>
          <w:tcPr>
            <w:tcW w:w="5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1,000</w:t>
            </w:r>
          </w:p>
        </w:tc>
      </w:tr>
      <w:tr>
        <w:trPr>
          <w:trHeight w:val="27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4.500% notes due 2042 </w:t>
            </w:r>
            <w:r>
              <w:rPr>
                <w:rFonts w:ascii="Arial" w:cs="Arial" w:eastAsia="Arial" w:hAnsi="Arial"/>
                <w:sz w:val="23"/>
                <w:szCs w:val="23"/>
                <w:color w:val="auto"/>
                <w:vertAlign w:val="superscript"/>
              </w:rPr>
              <w:t>1</w:t>
            </w: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3,500</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3,500</w:t>
            </w:r>
          </w:p>
        </w:tc>
      </w:tr>
      <w:tr>
        <w:trPr>
          <w:trHeight w:val="270"/>
        </w:trPr>
        <w:tc>
          <w:tcPr>
            <w:tcW w:w="7900" w:type="dxa"/>
            <w:vAlign w:val="bottom"/>
          </w:tcPr>
          <w:p>
            <w:pPr>
              <w:ind w:left="20"/>
              <w:spacing w:after="0"/>
              <w:rPr>
                <w:sz w:val="20"/>
                <w:szCs w:val="20"/>
                <w:color w:val="auto"/>
              </w:rPr>
            </w:pPr>
            <w:r>
              <w:rPr>
                <w:rFonts w:ascii="Arial" w:cs="Arial" w:eastAsia="Arial" w:hAnsi="Arial"/>
                <w:sz w:val="18"/>
                <w:szCs w:val="18"/>
                <w:color w:val="auto"/>
              </w:rPr>
              <w:t xml:space="preserve">4.800% notes due 2043 </w:t>
            </w:r>
            <w:r>
              <w:rPr>
                <w:rFonts w:ascii="Arial" w:cs="Arial" w:eastAsia="Arial" w:hAnsi="Arial"/>
                <w:sz w:val="23"/>
                <w:szCs w:val="23"/>
                <w:color w:val="auto"/>
                <w:vertAlign w:val="superscript"/>
              </w:rPr>
              <w:t>4</w:t>
            </w:r>
          </w:p>
        </w:tc>
        <w:tc>
          <w:tcPr>
            <w:tcW w:w="5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400</w:t>
            </w:r>
          </w:p>
        </w:tc>
      </w:tr>
      <w:tr>
        <w:trPr>
          <w:trHeight w:val="27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4.150% notes due 2045 </w:t>
            </w:r>
            <w:r>
              <w:rPr>
                <w:rFonts w:ascii="Arial" w:cs="Arial" w:eastAsia="Arial" w:hAnsi="Arial"/>
                <w:sz w:val="23"/>
                <w:szCs w:val="23"/>
                <w:color w:val="auto"/>
                <w:vertAlign w:val="superscript"/>
              </w:rPr>
              <w:t>1</w:t>
            </w: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850</w:t>
            </w:r>
          </w:p>
        </w:tc>
      </w:tr>
      <w:tr>
        <w:trPr>
          <w:trHeight w:val="270"/>
        </w:trPr>
        <w:tc>
          <w:tcPr>
            <w:tcW w:w="7900" w:type="dxa"/>
            <w:vAlign w:val="bottom"/>
          </w:tcPr>
          <w:p>
            <w:pPr>
              <w:ind w:left="20"/>
              <w:spacing w:after="0"/>
              <w:rPr>
                <w:sz w:val="20"/>
                <w:szCs w:val="20"/>
                <w:color w:val="auto"/>
              </w:rPr>
            </w:pPr>
            <w:r>
              <w:rPr>
                <w:rFonts w:ascii="Arial" w:cs="Arial" w:eastAsia="Arial" w:hAnsi="Arial"/>
                <w:sz w:val="18"/>
                <w:szCs w:val="18"/>
                <w:color w:val="auto"/>
              </w:rPr>
              <w:t xml:space="preserve">3.750% notes due 2046 </w:t>
            </w:r>
            <w:r>
              <w:rPr>
                <w:rFonts w:ascii="Arial" w:cs="Arial" w:eastAsia="Arial" w:hAnsi="Arial"/>
                <w:sz w:val="23"/>
                <w:szCs w:val="23"/>
                <w:color w:val="auto"/>
                <w:vertAlign w:val="superscript"/>
              </w:rPr>
              <w:t>1</w:t>
            </w:r>
          </w:p>
        </w:tc>
        <w:tc>
          <w:tcPr>
            <w:tcW w:w="5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1,100</w:t>
            </w:r>
          </w:p>
        </w:tc>
      </w:tr>
      <w:tr>
        <w:trPr>
          <w:trHeight w:val="27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4.050% notes due 2047 </w:t>
            </w:r>
            <w:r>
              <w:rPr>
                <w:rFonts w:ascii="Arial" w:cs="Arial" w:eastAsia="Arial" w:hAnsi="Arial"/>
                <w:sz w:val="23"/>
                <w:szCs w:val="23"/>
                <w:color w:val="auto"/>
                <w:vertAlign w:val="superscript"/>
              </w:rPr>
              <w:t>1</w:t>
            </w: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600</w:t>
            </w:r>
          </w:p>
        </w:tc>
      </w:tr>
      <w:tr>
        <w:trPr>
          <w:trHeight w:val="270"/>
        </w:trPr>
        <w:tc>
          <w:tcPr>
            <w:tcW w:w="7900" w:type="dxa"/>
            <w:vAlign w:val="bottom"/>
          </w:tcPr>
          <w:p>
            <w:pPr>
              <w:ind w:left="20"/>
              <w:spacing w:after="0"/>
              <w:rPr>
                <w:sz w:val="20"/>
                <w:szCs w:val="20"/>
                <w:color w:val="auto"/>
              </w:rPr>
            </w:pPr>
            <w:r>
              <w:rPr>
                <w:rFonts w:ascii="Arial" w:cs="Arial" w:eastAsia="Arial" w:hAnsi="Arial"/>
                <w:sz w:val="18"/>
                <w:szCs w:val="18"/>
                <w:color w:val="auto"/>
              </w:rPr>
              <w:t xml:space="preserve">4.350% notes due 2047 </w:t>
            </w:r>
            <w:r>
              <w:rPr>
                <w:rFonts w:ascii="Arial" w:cs="Arial" w:eastAsia="Arial" w:hAnsi="Arial"/>
                <w:sz w:val="23"/>
                <w:szCs w:val="23"/>
                <w:color w:val="auto"/>
                <w:vertAlign w:val="superscript"/>
              </w:rPr>
              <w:t>4</w:t>
            </w:r>
          </w:p>
        </w:tc>
        <w:tc>
          <w:tcPr>
            <w:tcW w:w="5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1,000</w:t>
            </w:r>
          </w:p>
        </w:tc>
      </w:tr>
      <w:tr>
        <w:trPr>
          <w:trHeight w:val="27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4.625% notes due 2048 </w:t>
            </w:r>
            <w:r>
              <w:rPr>
                <w:rFonts w:ascii="Arial" w:cs="Arial" w:eastAsia="Arial" w:hAnsi="Arial"/>
                <w:sz w:val="23"/>
                <w:szCs w:val="23"/>
                <w:color w:val="auto"/>
                <w:vertAlign w:val="superscript"/>
              </w:rPr>
              <w:t>1</w:t>
            </w: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1,750</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1,750</w:t>
            </w:r>
          </w:p>
        </w:tc>
      </w:tr>
      <w:tr>
        <w:trPr>
          <w:trHeight w:val="270"/>
        </w:trPr>
        <w:tc>
          <w:tcPr>
            <w:tcW w:w="7900" w:type="dxa"/>
            <w:vAlign w:val="bottom"/>
          </w:tcPr>
          <w:p>
            <w:pPr>
              <w:ind w:left="20"/>
              <w:spacing w:after="0"/>
              <w:rPr>
                <w:sz w:val="20"/>
                <w:szCs w:val="20"/>
                <w:color w:val="auto"/>
              </w:rPr>
            </w:pPr>
            <w:r>
              <w:rPr>
                <w:rFonts w:ascii="Arial" w:cs="Arial" w:eastAsia="Arial" w:hAnsi="Arial"/>
                <w:sz w:val="18"/>
                <w:szCs w:val="18"/>
                <w:color w:val="auto"/>
              </w:rPr>
              <w:t xml:space="preserve">3.362% notes due 2050 </w:t>
            </w:r>
            <w:r>
              <w:rPr>
                <w:rFonts w:ascii="Arial" w:cs="Arial" w:eastAsia="Arial" w:hAnsi="Arial"/>
                <w:sz w:val="23"/>
                <w:szCs w:val="23"/>
                <w:color w:val="auto"/>
                <w:vertAlign w:val="superscript"/>
              </w:rPr>
              <w:t>6</w:t>
            </w:r>
          </w:p>
        </w:tc>
        <w:tc>
          <w:tcPr>
            <w:tcW w:w="5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3.577% notes due 2050 </w:t>
            </w:r>
            <w:r>
              <w:rPr>
                <w:rFonts w:ascii="Arial" w:cs="Arial" w:eastAsia="Arial" w:hAnsi="Arial"/>
                <w:sz w:val="23"/>
                <w:szCs w:val="23"/>
                <w:color w:val="auto"/>
                <w:vertAlign w:val="superscript"/>
              </w:rPr>
              <w:t>6</w:t>
            </w: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70"/>
        </w:trPr>
        <w:tc>
          <w:tcPr>
            <w:tcW w:w="7900" w:type="dxa"/>
            <w:vAlign w:val="bottom"/>
          </w:tcPr>
          <w:p>
            <w:pPr>
              <w:ind w:left="20"/>
              <w:spacing w:after="0"/>
              <w:rPr>
                <w:sz w:val="20"/>
                <w:szCs w:val="20"/>
                <w:color w:val="auto"/>
              </w:rPr>
            </w:pPr>
            <w:r>
              <w:rPr>
                <w:rFonts w:ascii="Arial" w:cs="Arial" w:eastAsia="Arial" w:hAnsi="Arial"/>
                <w:sz w:val="18"/>
                <w:szCs w:val="18"/>
                <w:color w:val="auto"/>
              </w:rPr>
              <w:t xml:space="preserve">Project financing obligations </w:t>
            </w:r>
            <w:r>
              <w:rPr>
                <w:rFonts w:ascii="Arial" w:cs="Arial" w:eastAsia="Arial" w:hAnsi="Arial"/>
                <w:sz w:val="23"/>
                <w:szCs w:val="23"/>
                <w:color w:val="auto"/>
                <w:vertAlign w:val="superscript"/>
              </w:rPr>
              <w:t>5</w:t>
            </w:r>
          </w:p>
        </w:tc>
        <w:tc>
          <w:tcPr>
            <w:tcW w:w="5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309</w:t>
            </w:r>
          </w:p>
        </w:tc>
      </w:tr>
      <w:tr>
        <w:trPr>
          <w:trHeight w:val="27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(including finance leases)</w:t>
            </w:r>
          </w:p>
        </w:tc>
        <w:tc>
          <w:tcPr>
            <w:tcW w:w="5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331</w:t>
            </w:r>
          </w:p>
        </w:tc>
      </w:tr>
      <w:tr>
        <w:trPr>
          <w:trHeight w:val="236"/>
        </w:trPr>
        <w:tc>
          <w:tcPr>
            <w:tcW w:w="7900" w:type="dxa"/>
            <w:vAlign w:val="bottom"/>
          </w:tcPr>
          <w:p>
            <w:pPr>
              <w:ind w:left="20"/>
              <w:spacing w:after="0"/>
              <w:rPr>
                <w:sz w:val="20"/>
                <w:szCs w:val="20"/>
                <w:color w:val="auto"/>
              </w:rPr>
            </w:pPr>
            <w:r>
              <w:rPr>
                <w:rFonts w:ascii="Arial" w:cs="Arial" w:eastAsia="Arial" w:hAnsi="Arial"/>
                <w:sz w:val="18"/>
                <w:szCs w:val="18"/>
                <w:color w:val="auto"/>
              </w:rPr>
              <w:t>Total principal long-term debt</w:t>
            </w:r>
          </w:p>
        </w:tc>
        <w:tc>
          <w:tcPr>
            <w:tcW w:w="54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44,941</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41,599</w:t>
            </w:r>
          </w:p>
        </w:tc>
      </w:tr>
      <w:tr>
        <w:trPr>
          <w:trHeight w:val="27"/>
        </w:trPr>
        <w:tc>
          <w:tcPr>
            <w:tcW w:w="7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(fair market value adjustments, discounts and debt issuance costs)</w:t>
            </w:r>
          </w:p>
        </w:tc>
        <w:tc>
          <w:tcPr>
            <w:tcW w:w="5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w:t>
            </w:r>
          </w:p>
        </w:tc>
      </w:tr>
      <w:tr>
        <w:trPr>
          <w:trHeight w:val="236"/>
        </w:trPr>
        <w:tc>
          <w:tcPr>
            <w:tcW w:w="790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5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44,594</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41,284</w:t>
            </w:r>
          </w:p>
        </w:tc>
      </w:tr>
      <w:tr>
        <w:trPr>
          <w:trHeight w:val="27"/>
        </w:trPr>
        <w:tc>
          <w:tcPr>
            <w:tcW w:w="7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5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1,362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3,496</w:t>
            </w:r>
          </w:p>
        </w:tc>
      </w:tr>
      <w:tr>
        <w:trPr>
          <w:trHeight w:val="263"/>
        </w:trPr>
        <w:tc>
          <w:tcPr>
            <w:tcW w:w="7900" w:type="dxa"/>
            <w:vAlign w:val="bottom"/>
          </w:tcPr>
          <w:p>
            <w:pPr>
              <w:ind w:left="20"/>
              <w:spacing w:after="0"/>
              <w:rPr>
                <w:sz w:val="20"/>
                <w:szCs w:val="20"/>
                <w:color w:val="auto"/>
              </w:rPr>
            </w:pPr>
            <w:r>
              <w:rPr>
                <w:rFonts w:ascii="Arial" w:cs="Arial" w:eastAsia="Arial" w:hAnsi="Arial"/>
                <w:sz w:val="18"/>
                <w:szCs w:val="18"/>
                <w:color w:val="auto"/>
              </w:rPr>
              <w:t>Long-term debt, net of current portion</w:t>
            </w: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43,232</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37,788</w:t>
            </w:r>
          </w:p>
        </w:tc>
      </w:tr>
      <w:tr>
        <w:trPr>
          <w:trHeight w:val="21"/>
        </w:trPr>
        <w:tc>
          <w:tcPr>
            <w:tcW w:w="79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1 We may redeem these notes at our option pursuant to their terms.</w:t>
      </w:r>
    </w:p>
    <w:p>
      <w:pPr>
        <w:spacing w:after="0" w:line="109" w:lineRule="exact"/>
        <w:rPr>
          <w:sz w:val="20"/>
          <w:szCs w:val="20"/>
          <w:color w:val="auto"/>
        </w:rPr>
      </w:pPr>
    </w:p>
    <w:p>
      <w:pPr>
        <w:ind w:left="340" w:right="440" w:hanging="323"/>
        <w:spacing w:after="0" w:line="293" w:lineRule="auto"/>
        <w:rPr>
          <w:sz w:val="20"/>
          <w:szCs w:val="20"/>
          <w:color w:val="auto"/>
        </w:rPr>
      </w:pPr>
      <w:r>
        <w:rPr>
          <w:rFonts w:ascii="Arial" w:cs="Arial" w:eastAsia="Arial" w:hAnsi="Arial"/>
          <w:sz w:val="14"/>
          <w:szCs w:val="14"/>
          <w:color w:val="auto"/>
        </w:rPr>
        <w:t>2 The three-month EURIBOR rate as of March 31, 2020 was approximately -0.363%. The notes may be redeemed at our option in whole, but not in part, at any time in the event of certain developments affecting U.S. taxation.</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3 The three-month LIBOR rate as of March 31, 2020 was approximately 1.4505%.</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4 Rockwell Collins debt which remained outstanding following the Rockwell Acquisition.</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5 Project financing obligations are associated with the sale of rights to unbilled revenues related to the ongoing activity of an entity owned by Carrier.</w:t>
      </w:r>
    </w:p>
    <w:p>
      <w:pPr>
        <w:spacing w:after="0" w:line="69" w:lineRule="exact"/>
        <w:rPr>
          <w:sz w:val="20"/>
          <w:szCs w:val="20"/>
          <w:color w:val="auto"/>
        </w:rPr>
      </w:pPr>
    </w:p>
    <w:p>
      <w:pPr>
        <w:ind w:left="340" w:right="380" w:hanging="332"/>
        <w:spacing w:after="0" w:line="358" w:lineRule="auto"/>
        <w:tabs>
          <w:tab w:leader="none" w:pos="157"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debt issuances reflect additional debt incurred by Otis and Carrier and attributed to those businesses post Separation Transactions. The net proceeds of these issuances were primarily utilized to extinguish Raytheon Technologies short-term and long-term debt in order to achieve the applicable net indebtedness required by the merger agreement with Raytheon.</w:t>
      </w:r>
    </w:p>
    <w:p>
      <w:pPr>
        <w:spacing w:after="0" w:line="32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had no long-term debt issuances in 2019 and had the following issuances of debt during the quarter ended March 31, 2020:</w:t>
      </w:r>
    </w:p>
    <w:p>
      <w:pPr>
        <w:spacing w:after="0" w:line="261"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auto"/>
        </w:rPr>
        <w:t>(dollars in millions)</w:t>
      </w:r>
    </w:p>
    <w:p>
      <w:pPr>
        <w:spacing w:after="0" w:line="200" w:lineRule="exact"/>
        <w:rPr>
          <w:sz w:val="20"/>
          <w:szCs w:val="20"/>
          <w:color w:val="auto"/>
        </w:rPr>
      </w:pPr>
    </w:p>
    <w:p>
      <w:pPr>
        <w:spacing w:after="0" w:line="297" w:lineRule="exact"/>
        <w:rPr>
          <w:sz w:val="20"/>
          <w:szCs w:val="20"/>
          <w:color w:val="auto"/>
        </w:rPr>
      </w:pPr>
    </w:p>
    <w:p>
      <w:pPr>
        <w:ind w:left="860"/>
        <w:spacing w:after="0"/>
        <w:tabs>
          <w:tab w:leader="none" w:pos="5040" w:val="left"/>
          <w:tab w:leader="none" w:pos="9120" w:val="left"/>
        </w:tabs>
        <w:rPr>
          <w:sz w:val="20"/>
          <w:szCs w:val="20"/>
          <w:color w:val="auto"/>
        </w:rPr>
      </w:pPr>
      <w:r>
        <w:rPr>
          <w:rFonts w:ascii="Arial" w:cs="Arial" w:eastAsia="Arial" w:hAnsi="Arial"/>
          <w:sz w:val="14"/>
          <w:szCs w:val="14"/>
          <w:b w:val="1"/>
          <w:bCs w:val="1"/>
          <w:color w:val="auto"/>
        </w:rPr>
        <w:t>Issuance Date</w:t>
      </w:r>
      <w:r>
        <w:rPr>
          <w:sz w:val="20"/>
          <w:szCs w:val="20"/>
          <w:color w:val="auto"/>
        </w:rPr>
        <w:tab/>
      </w:r>
      <w:r>
        <w:rPr>
          <w:rFonts w:ascii="Arial" w:cs="Arial" w:eastAsia="Arial" w:hAnsi="Arial"/>
          <w:sz w:val="14"/>
          <w:szCs w:val="14"/>
          <w:b w:val="1"/>
          <w:bCs w:val="1"/>
          <w:color w:val="auto"/>
        </w:rPr>
        <w:t>Description of Notes</w:t>
      </w:r>
      <w:r>
        <w:rPr>
          <w:sz w:val="20"/>
          <w:szCs w:val="20"/>
          <w:color w:val="auto"/>
        </w:rPr>
        <w:tab/>
      </w:r>
      <w:r>
        <w:rPr>
          <w:rFonts w:ascii="Arial" w:cs="Arial" w:eastAsia="Arial" w:hAnsi="Arial"/>
          <w:sz w:val="12"/>
          <w:szCs w:val="12"/>
          <w:b w:val="1"/>
          <w:bCs w:val="1"/>
          <w:color w:val="auto"/>
        </w:rPr>
        <w:t>Aggregate Principal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9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63"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27,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27, 2020</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 xml:space="preserve">1.923% notes due 2023 </w:t>
            </w:r>
            <w:r>
              <w:rPr>
                <w:rFonts w:ascii="Arial" w:cs="Arial" w:eastAsia="Arial" w:hAnsi="Arial"/>
                <w:sz w:val="23"/>
                <w:szCs w:val="23"/>
                <w:color w:val="auto"/>
                <w:vertAlign w:val="superscript"/>
              </w:rPr>
              <w:t>1</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500</w:t>
            </w: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 xml:space="preserve">Libor plus 0.450% floating rate notes due 2023 </w:t>
            </w:r>
            <w:r>
              <w:rPr>
                <w:rFonts w:ascii="Arial" w:cs="Arial" w:eastAsia="Arial" w:hAnsi="Arial"/>
                <w:sz w:val="23"/>
                <w:szCs w:val="23"/>
                <w:color w:val="auto"/>
                <w:vertAlign w:val="superscript"/>
              </w:rPr>
              <w:t>1</w:t>
            </w:r>
          </w:p>
        </w:tc>
        <w:tc>
          <w:tcPr>
            <w:tcW w:w="960" w:type="dxa"/>
            <w:vAlign w:val="bottom"/>
          </w:tcPr>
          <w:p>
            <w:pPr>
              <w:spacing w:after="0"/>
              <w:rPr>
                <w:sz w:val="23"/>
                <w:szCs w:val="23"/>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500</w:t>
            </w: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 xml:space="preserve">2.056% notes due 2025 </w:t>
            </w:r>
            <w:r>
              <w:rPr>
                <w:rFonts w:ascii="Arial" w:cs="Arial" w:eastAsia="Arial" w:hAnsi="Arial"/>
                <w:sz w:val="23"/>
                <w:szCs w:val="23"/>
                <w:color w:val="auto"/>
                <w:vertAlign w:val="superscript"/>
              </w:rPr>
              <w:t>1</w:t>
            </w:r>
          </w:p>
        </w:tc>
        <w:tc>
          <w:tcPr>
            <w:tcW w:w="960" w:type="dxa"/>
            <w:vAlign w:val="bottom"/>
          </w:tcPr>
          <w:p>
            <w:pPr>
              <w:spacing w:after="0"/>
              <w:rPr>
                <w:sz w:val="23"/>
                <w:szCs w:val="23"/>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1,300</w:t>
            </w: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 xml:space="preserve">2.242% notes due 2025 </w:t>
            </w:r>
            <w:r>
              <w:rPr>
                <w:rFonts w:ascii="Arial" w:cs="Arial" w:eastAsia="Arial" w:hAnsi="Arial"/>
                <w:sz w:val="23"/>
                <w:szCs w:val="23"/>
                <w:color w:val="auto"/>
                <w:vertAlign w:val="superscript"/>
              </w:rPr>
              <w:t>1</w:t>
            </w:r>
          </w:p>
        </w:tc>
        <w:tc>
          <w:tcPr>
            <w:tcW w:w="960" w:type="dxa"/>
            <w:vAlign w:val="bottom"/>
          </w:tcPr>
          <w:p>
            <w:pPr>
              <w:spacing w:after="0"/>
              <w:rPr>
                <w:sz w:val="23"/>
                <w:szCs w:val="23"/>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2,000</w:t>
            </w: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 xml:space="preserve">2.293% notes due 2027 </w:t>
            </w:r>
            <w:r>
              <w:rPr>
                <w:rFonts w:ascii="Arial" w:cs="Arial" w:eastAsia="Arial" w:hAnsi="Arial"/>
                <w:sz w:val="23"/>
                <w:szCs w:val="23"/>
                <w:color w:val="auto"/>
                <w:vertAlign w:val="superscript"/>
              </w:rPr>
              <w:t>1</w:t>
            </w:r>
          </w:p>
        </w:tc>
        <w:tc>
          <w:tcPr>
            <w:tcW w:w="960" w:type="dxa"/>
            <w:vAlign w:val="bottom"/>
          </w:tcPr>
          <w:p>
            <w:pPr>
              <w:spacing w:after="0"/>
              <w:rPr>
                <w:sz w:val="23"/>
                <w:szCs w:val="23"/>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500</w:t>
            </w: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 xml:space="preserve">2.493% notes due 2027 </w:t>
            </w:r>
            <w:r>
              <w:rPr>
                <w:rFonts w:ascii="Arial" w:cs="Arial" w:eastAsia="Arial" w:hAnsi="Arial"/>
                <w:sz w:val="23"/>
                <w:szCs w:val="23"/>
                <w:color w:val="auto"/>
                <w:vertAlign w:val="superscript"/>
              </w:rPr>
              <w:t>1</w:t>
            </w:r>
          </w:p>
        </w:tc>
        <w:tc>
          <w:tcPr>
            <w:tcW w:w="960" w:type="dxa"/>
            <w:vAlign w:val="bottom"/>
          </w:tcPr>
          <w:p>
            <w:pPr>
              <w:spacing w:after="0"/>
              <w:rPr>
                <w:sz w:val="23"/>
                <w:szCs w:val="23"/>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1,250</w:t>
            </w: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 xml:space="preserve">2.565% notes due 2030 </w:t>
            </w:r>
            <w:r>
              <w:rPr>
                <w:rFonts w:ascii="Arial" w:cs="Arial" w:eastAsia="Arial" w:hAnsi="Arial"/>
                <w:sz w:val="23"/>
                <w:szCs w:val="23"/>
                <w:color w:val="auto"/>
                <w:vertAlign w:val="superscript"/>
              </w:rPr>
              <w:t>1</w:t>
            </w:r>
          </w:p>
        </w:tc>
        <w:tc>
          <w:tcPr>
            <w:tcW w:w="960" w:type="dxa"/>
            <w:vAlign w:val="bottom"/>
          </w:tcPr>
          <w:p>
            <w:pPr>
              <w:spacing w:after="0"/>
              <w:rPr>
                <w:sz w:val="23"/>
                <w:szCs w:val="23"/>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1,500</w:t>
            </w: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 xml:space="preserve">2.722% notes due 2030 </w:t>
            </w:r>
            <w:r>
              <w:rPr>
                <w:rFonts w:ascii="Arial" w:cs="Arial" w:eastAsia="Arial" w:hAnsi="Arial"/>
                <w:sz w:val="23"/>
                <w:szCs w:val="23"/>
                <w:color w:val="auto"/>
                <w:vertAlign w:val="superscript"/>
              </w:rPr>
              <w:t>1</w:t>
            </w:r>
          </w:p>
        </w:tc>
        <w:tc>
          <w:tcPr>
            <w:tcW w:w="960" w:type="dxa"/>
            <w:vAlign w:val="bottom"/>
          </w:tcPr>
          <w:p>
            <w:pPr>
              <w:spacing w:after="0"/>
              <w:rPr>
                <w:sz w:val="23"/>
                <w:szCs w:val="23"/>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2,000</w:t>
            </w: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 xml:space="preserve">3.112% notes due 2040 </w:t>
            </w:r>
            <w:r>
              <w:rPr>
                <w:rFonts w:ascii="Arial" w:cs="Arial" w:eastAsia="Arial" w:hAnsi="Arial"/>
                <w:sz w:val="23"/>
                <w:szCs w:val="23"/>
                <w:color w:val="auto"/>
                <w:vertAlign w:val="superscript"/>
              </w:rPr>
              <w:t>1</w:t>
            </w:r>
          </w:p>
        </w:tc>
        <w:tc>
          <w:tcPr>
            <w:tcW w:w="960" w:type="dxa"/>
            <w:vAlign w:val="bottom"/>
          </w:tcPr>
          <w:p>
            <w:pPr>
              <w:spacing w:after="0"/>
              <w:rPr>
                <w:sz w:val="23"/>
                <w:szCs w:val="23"/>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750</w:t>
            </w: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 xml:space="preserve">3.377% notes due 2040 </w:t>
            </w:r>
            <w:r>
              <w:rPr>
                <w:rFonts w:ascii="Arial" w:cs="Arial" w:eastAsia="Arial" w:hAnsi="Arial"/>
                <w:sz w:val="23"/>
                <w:szCs w:val="23"/>
                <w:color w:val="auto"/>
                <w:vertAlign w:val="superscript"/>
              </w:rPr>
              <w:t>1</w:t>
            </w:r>
          </w:p>
        </w:tc>
        <w:tc>
          <w:tcPr>
            <w:tcW w:w="960" w:type="dxa"/>
            <w:vAlign w:val="bottom"/>
          </w:tcPr>
          <w:p>
            <w:pPr>
              <w:spacing w:after="0"/>
              <w:rPr>
                <w:sz w:val="23"/>
                <w:szCs w:val="23"/>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1,500</w:t>
            </w: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 xml:space="preserve">3.362% notes due 2050 </w:t>
            </w:r>
            <w:r>
              <w:rPr>
                <w:rFonts w:ascii="Arial" w:cs="Arial" w:eastAsia="Arial" w:hAnsi="Arial"/>
                <w:sz w:val="23"/>
                <w:szCs w:val="23"/>
                <w:color w:val="auto"/>
                <w:vertAlign w:val="superscript"/>
              </w:rPr>
              <w:t>1</w:t>
            </w:r>
          </w:p>
        </w:tc>
        <w:tc>
          <w:tcPr>
            <w:tcW w:w="960" w:type="dxa"/>
            <w:vAlign w:val="bottom"/>
          </w:tcPr>
          <w:p>
            <w:pPr>
              <w:spacing w:after="0"/>
              <w:rPr>
                <w:sz w:val="23"/>
                <w:szCs w:val="23"/>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750</w:t>
            </w: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 xml:space="preserve">3.577% notes due 2050 </w:t>
            </w:r>
            <w:r>
              <w:rPr>
                <w:rFonts w:ascii="Arial" w:cs="Arial" w:eastAsia="Arial" w:hAnsi="Arial"/>
                <w:sz w:val="23"/>
                <w:szCs w:val="23"/>
                <w:color w:val="auto"/>
                <w:vertAlign w:val="superscript"/>
              </w:rPr>
              <w:t>1</w:t>
            </w:r>
          </w:p>
        </w:tc>
        <w:tc>
          <w:tcPr>
            <w:tcW w:w="960" w:type="dxa"/>
            <w:vAlign w:val="bottom"/>
          </w:tcPr>
          <w:p>
            <w:pPr>
              <w:spacing w:after="0"/>
              <w:rPr>
                <w:sz w:val="23"/>
                <w:szCs w:val="23"/>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2,000</w:t>
            </w: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 xml:space="preserve">Term Loan due 2023 (Otis) </w:t>
            </w:r>
            <w:r>
              <w:rPr>
                <w:rFonts w:ascii="Arial" w:cs="Arial" w:eastAsia="Arial" w:hAnsi="Arial"/>
                <w:sz w:val="23"/>
                <w:szCs w:val="23"/>
                <w:color w:val="auto"/>
                <w:vertAlign w:val="superscript"/>
              </w:rPr>
              <w:t>1</w:t>
            </w:r>
          </w:p>
        </w:tc>
        <w:tc>
          <w:tcPr>
            <w:tcW w:w="960" w:type="dxa"/>
            <w:vAlign w:val="bottom"/>
          </w:tcPr>
          <w:p>
            <w:pPr>
              <w:spacing w:after="0"/>
              <w:rPr>
                <w:sz w:val="23"/>
                <w:szCs w:val="23"/>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1,000</w:t>
            </w:r>
          </w:p>
        </w:tc>
      </w:tr>
      <w:tr>
        <w:trPr>
          <w:trHeight w:val="257"/>
        </w:trPr>
        <w:tc>
          <w:tcPr>
            <w:tcW w:w="6200" w:type="dxa"/>
            <w:vAlign w:val="bottom"/>
          </w:tcPr>
          <w:p>
            <w:pPr>
              <w:spacing w:after="0" w:line="257" w:lineRule="exact"/>
              <w:rPr>
                <w:sz w:val="20"/>
                <w:szCs w:val="20"/>
                <w:color w:val="auto"/>
              </w:rPr>
            </w:pPr>
            <w:r>
              <w:rPr>
                <w:rFonts w:ascii="Arial" w:cs="Arial" w:eastAsia="Arial" w:hAnsi="Arial"/>
                <w:sz w:val="18"/>
                <w:szCs w:val="18"/>
                <w:color w:val="auto"/>
              </w:rPr>
              <w:t xml:space="preserve">Term Loan due 2023 (Carrier) </w:t>
            </w:r>
            <w:r>
              <w:rPr>
                <w:rFonts w:ascii="Arial" w:cs="Arial" w:eastAsia="Arial" w:hAnsi="Arial"/>
                <w:sz w:val="23"/>
                <w:szCs w:val="23"/>
                <w:color w:val="auto"/>
                <w:vertAlign w:val="superscript"/>
              </w:rPr>
              <w:t>1</w:t>
            </w:r>
          </w:p>
        </w:tc>
        <w:tc>
          <w:tcPr>
            <w:tcW w:w="9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1,750</w:t>
            </w:r>
          </w:p>
        </w:tc>
      </w:tr>
      <w:tr>
        <w:trPr>
          <w:trHeight w:val="237"/>
        </w:trPr>
        <w:tc>
          <w:tcPr>
            <w:tcW w:w="6200" w:type="dxa"/>
            <w:vAlign w:val="bottom"/>
          </w:tcPr>
          <w:p>
            <w:pPr>
              <w:spacing w:after="0"/>
              <w:rPr>
                <w:sz w:val="20"/>
                <w:szCs w:val="20"/>
                <w:color w:val="auto"/>
              </w:rPr>
            </w:pP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17,300</w:t>
            </w:r>
          </w:p>
        </w:tc>
      </w:tr>
      <w:tr>
        <w:trPr>
          <w:trHeight w:val="27"/>
        </w:trPr>
        <w:tc>
          <w:tcPr>
            <w:tcW w:w="62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6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-1645285</wp:posOffset>
            </wp:positionH>
            <wp:positionV relativeFrom="paragraph">
              <wp:posOffset>-2270760</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-1927860</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-1584960</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-1242695</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-899795</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-556895</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-213995</wp:posOffset>
            </wp:positionV>
            <wp:extent cx="7132320" cy="1968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130" w:lineRule="exact"/>
        <w:rPr>
          <w:sz w:val="20"/>
          <w:szCs w:val="20"/>
          <w:color w:val="auto"/>
        </w:rPr>
      </w:pPr>
    </w:p>
    <w:p>
      <w:pPr>
        <w:sectPr>
          <w:pgSz w:w="11900" w:h="16838" w:orient="portrait"/>
          <w:cols w:equalWidth="0" w:num="2">
            <w:col w:w="1880" w:space="720"/>
            <w:col w:w="8640"/>
          </w:cols>
          <w:pgMar w:left="320" w:top="122" w:right="339" w:bottom="1440" w:gutter="0" w:footer="0" w:header="0"/>
          <w:type w:val="continuous"/>
        </w:sectPr>
      </w:pPr>
    </w:p>
    <w:p>
      <w:pPr>
        <w:ind w:left="340" w:right="100" w:hanging="323"/>
        <w:spacing w:after="0" w:line="267" w:lineRule="auto"/>
        <w:rPr>
          <w:sz w:val="20"/>
          <w:szCs w:val="20"/>
          <w:color w:val="auto"/>
        </w:rPr>
      </w:pPr>
      <w:r>
        <w:rPr>
          <w:rFonts w:ascii="Arial" w:cs="Arial" w:eastAsia="Arial" w:hAnsi="Arial"/>
          <w:sz w:val="14"/>
          <w:szCs w:val="14"/>
          <w:color w:val="auto"/>
        </w:rPr>
        <w:t>1 The debt issuances and term loan draws reflect additional debt incurred by Otis and Carrier and attributed to those businesses post Separation Transactions. The net proceeds of these issuances were primarily utilized to extinguish Raytheon Technologies short term and long term debt in order to achieve the applicable net indebtedness required by the merger agreement with Raytheon.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9" w:name="page20"/>
    <w:bookmarkEnd w:id="1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We had the following repayments of long-term debt during the quarter ended March 31, 2020 and the year-ended December 31, 2019:</w:t>
      </w:r>
    </w:p>
    <w:p>
      <w:pPr>
        <w:spacing w:after="0" w:line="261"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(dollars in millions)</w:t>
      </w:r>
    </w:p>
    <w:p>
      <w:pPr>
        <w:spacing w:after="0" w:line="389" w:lineRule="exact"/>
        <w:rPr>
          <w:sz w:val="20"/>
          <w:szCs w:val="20"/>
          <w:color w:val="auto"/>
        </w:rPr>
      </w:pPr>
    </w:p>
    <w:p>
      <w:pPr>
        <w:ind w:left="780"/>
        <w:spacing w:after="0"/>
        <w:tabs>
          <w:tab w:leader="none" w:pos="5040" w:val="left"/>
          <w:tab w:leader="none" w:pos="9120" w:val="left"/>
        </w:tabs>
        <w:rPr>
          <w:sz w:val="20"/>
          <w:szCs w:val="20"/>
          <w:color w:val="auto"/>
        </w:rPr>
      </w:pPr>
      <w:r>
        <w:rPr>
          <w:rFonts w:ascii="Arial" w:cs="Arial" w:eastAsia="Arial" w:hAnsi="Arial"/>
          <w:sz w:val="14"/>
          <w:szCs w:val="14"/>
          <w:b w:val="1"/>
          <w:bCs w:val="1"/>
          <w:color w:val="auto"/>
        </w:rPr>
        <w:t>Repayment Date</w:t>
      </w:r>
      <w:r>
        <w:rPr>
          <w:sz w:val="20"/>
          <w:szCs w:val="20"/>
          <w:color w:val="auto"/>
        </w:rPr>
        <w:tab/>
      </w:r>
      <w:r>
        <w:rPr>
          <w:rFonts w:ascii="Arial" w:cs="Arial" w:eastAsia="Arial" w:hAnsi="Arial"/>
          <w:sz w:val="14"/>
          <w:szCs w:val="14"/>
          <w:b w:val="1"/>
          <w:bCs w:val="1"/>
          <w:color w:val="auto"/>
        </w:rPr>
        <w:t>Description of Notes</w:t>
      </w:r>
      <w:r>
        <w:rPr>
          <w:sz w:val="20"/>
          <w:szCs w:val="20"/>
          <w:color w:val="auto"/>
        </w:rPr>
        <w:tab/>
      </w:r>
      <w:r>
        <w:rPr>
          <w:rFonts w:ascii="Arial" w:cs="Arial" w:eastAsia="Arial" w:hAnsi="Arial"/>
          <w:sz w:val="12"/>
          <w:szCs w:val="12"/>
          <w:b w:val="1"/>
          <w:bCs w:val="1"/>
          <w:color w:val="auto"/>
        </w:rPr>
        <w:t>Aggregate Principal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80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29,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3,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 w:right="520"/>
        <w:spacing w:after="0" w:line="412" w:lineRule="auto"/>
        <w:rPr>
          <w:sz w:val="20"/>
          <w:szCs w:val="20"/>
          <w:color w:val="auto"/>
        </w:rPr>
      </w:pPr>
      <w:r>
        <w:rPr>
          <w:rFonts w:ascii="Arial" w:cs="Arial" w:eastAsia="Arial" w:hAnsi="Arial"/>
          <w:sz w:val="16"/>
          <w:szCs w:val="16"/>
          <w:color w:val="auto"/>
        </w:rPr>
        <w:t>March 2, 2020 February 28, 2020</w:t>
      </w: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November 15, 2019</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November 13, 2019</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7"/>
          <w:szCs w:val="17"/>
          <w:color w:val="auto"/>
        </w:rPr>
        <w:t>November 1, 2019</w:t>
      </w:r>
    </w:p>
    <w:p>
      <w:pPr>
        <w:spacing w:after="0" w:line="200" w:lineRule="exact"/>
        <w:rPr>
          <w:sz w:val="20"/>
          <w:szCs w:val="20"/>
          <w:color w:val="auto"/>
        </w:rPr>
      </w:pPr>
    </w:p>
    <w:p>
      <w:pPr>
        <w:spacing w:after="0" w:line="3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July 15, 2019</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 xml:space="preserve">4.500% notes due 2020 </w:t>
            </w:r>
            <w:r>
              <w:rPr>
                <w:rFonts w:ascii="Arial" w:cs="Arial" w:eastAsia="Arial" w:hAnsi="Arial"/>
                <w:sz w:val="23"/>
                <w:szCs w:val="23"/>
                <w:color w:val="auto"/>
                <w:vertAlign w:val="superscript"/>
              </w:rPr>
              <w:t>2,3</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 xml:space="preserve">1.125% notes due 2021 (€950 million principal value) </w:t>
            </w:r>
            <w:r>
              <w:rPr>
                <w:rFonts w:ascii="Arial" w:cs="Arial" w:eastAsia="Arial" w:hAnsi="Arial"/>
                <w:sz w:val="23"/>
                <w:szCs w:val="23"/>
                <w:color w:val="auto"/>
                <w:vertAlign w:val="superscript"/>
              </w:rPr>
              <w:t>2,3</w:t>
            </w:r>
          </w:p>
        </w:tc>
        <w:tc>
          <w:tcPr>
            <w:tcW w:w="960" w:type="dxa"/>
            <w:vAlign w:val="bottom"/>
          </w:tcPr>
          <w:p>
            <w:pPr>
              <w:spacing w:after="0"/>
              <w:rPr>
                <w:sz w:val="23"/>
                <w:szCs w:val="23"/>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 xml:space="preserve">1.250% notes due 2023 (€750 million principal value) </w:t>
            </w:r>
            <w:r>
              <w:rPr>
                <w:rFonts w:ascii="Arial" w:cs="Arial" w:eastAsia="Arial" w:hAnsi="Arial"/>
                <w:sz w:val="23"/>
                <w:szCs w:val="23"/>
                <w:color w:val="auto"/>
                <w:vertAlign w:val="superscript"/>
              </w:rPr>
              <w:t>2,3</w:t>
            </w:r>
          </w:p>
        </w:tc>
        <w:tc>
          <w:tcPr>
            <w:tcW w:w="960" w:type="dxa"/>
            <w:vAlign w:val="bottom"/>
          </w:tcPr>
          <w:p>
            <w:pPr>
              <w:spacing w:after="0"/>
              <w:rPr>
                <w:sz w:val="23"/>
                <w:szCs w:val="23"/>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 xml:space="preserve">1.150% notes due 2024 (€750 million principal value) </w:t>
            </w:r>
            <w:r>
              <w:rPr>
                <w:rFonts w:ascii="Arial" w:cs="Arial" w:eastAsia="Arial" w:hAnsi="Arial"/>
                <w:sz w:val="23"/>
                <w:szCs w:val="23"/>
                <w:color w:val="auto"/>
                <w:vertAlign w:val="superscript"/>
              </w:rPr>
              <w:t>2,3</w:t>
            </w:r>
          </w:p>
        </w:tc>
        <w:tc>
          <w:tcPr>
            <w:tcW w:w="960" w:type="dxa"/>
            <w:vAlign w:val="bottom"/>
          </w:tcPr>
          <w:p>
            <w:pPr>
              <w:spacing w:after="0"/>
              <w:rPr>
                <w:sz w:val="23"/>
                <w:szCs w:val="23"/>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 xml:space="preserve">1.875% notes due 2026 (€500 million principal value) </w:t>
            </w:r>
            <w:r>
              <w:rPr>
                <w:rFonts w:ascii="Arial" w:cs="Arial" w:eastAsia="Arial" w:hAnsi="Arial"/>
                <w:sz w:val="23"/>
                <w:szCs w:val="23"/>
                <w:color w:val="auto"/>
                <w:vertAlign w:val="superscript"/>
              </w:rPr>
              <w:t>2,3</w:t>
            </w:r>
          </w:p>
        </w:tc>
        <w:tc>
          <w:tcPr>
            <w:tcW w:w="960" w:type="dxa"/>
            <w:vAlign w:val="bottom"/>
          </w:tcPr>
          <w:p>
            <w:pPr>
              <w:spacing w:after="0"/>
              <w:rPr>
                <w:sz w:val="23"/>
                <w:szCs w:val="23"/>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 xml:space="preserve">1.900% notes due 2020 </w:t>
            </w:r>
            <w:r>
              <w:rPr>
                <w:rFonts w:ascii="Arial" w:cs="Arial" w:eastAsia="Arial" w:hAnsi="Arial"/>
                <w:sz w:val="23"/>
                <w:szCs w:val="23"/>
                <w:color w:val="auto"/>
                <w:vertAlign w:val="superscript"/>
              </w:rPr>
              <w:t>2,3</w:t>
            </w:r>
          </w:p>
        </w:tc>
        <w:tc>
          <w:tcPr>
            <w:tcW w:w="960" w:type="dxa"/>
            <w:vAlign w:val="bottom"/>
          </w:tcPr>
          <w:p>
            <w:pPr>
              <w:spacing w:after="0"/>
              <w:rPr>
                <w:sz w:val="23"/>
                <w:szCs w:val="23"/>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 xml:space="preserve">3.350% notes due 2021 </w:t>
            </w:r>
            <w:r>
              <w:rPr>
                <w:rFonts w:ascii="Arial" w:cs="Arial" w:eastAsia="Arial" w:hAnsi="Arial"/>
                <w:sz w:val="23"/>
                <w:szCs w:val="23"/>
                <w:color w:val="auto"/>
                <w:vertAlign w:val="superscript"/>
              </w:rPr>
              <w:t>2,3</w:t>
            </w:r>
          </w:p>
        </w:tc>
        <w:tc>
          <w:tcPr>
            <w:tcW w:w="960" w:type="dxa"/>
            <w:vAlign w:val="bottom"/>
          </w:tcPr>
          <w:p>
            <w:pPr>
              <w:spacing w:after="0"/>
              <w:rPr>
                <w:sz w:val="23"/>
                <w:szCs w:val="23"/>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 xml:space="preserve">LIBOR plus 0.650% floating rate notes due 2021 </w:t>
            </w:r>
            <w:r>
              <w:rPr>
                <w:rFonts w:ascii="Arial" w:cs="Arial" w:eastAsia="Arial" w:hAnsi="Arial"/>
                <w:sz w:val="23"/>
                <w:szCs w:val="23"/>
                <w:color w:val="auto"/>
                <w:vertAlign w:val="superscript"/>
              </w:rPr>
              <w:t>2,3</w:t>
            </w:r>
          </w:p>
        </w:tc>
        <w:tc>
          <w:tcPr>
            <w:tcW w:w="960" w:type="dxa"/>
            <w:vAlign w:val="bottom"/>
          </w:tcPr>
          <w:p>
            <w:pPr>
              <w:spacing w:after="0"/>
              <w:rPr>
                <w:sz w:val="23"/>
                <w:szCs w:val="23"/>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 xml:space="preserve">1.950% notes due 2021 </w:t>
            </w:r>
            <w:r>
              <w:rPr>
                <w:rFonts w:ascii="Arial" w:cs="Arial" w:eastAsia="Arial" w:hAnsi="Arial"/>
                <w:sz w:val="23"/>
                <w:szCs w:val="23"/>
                <w:color w:val="auto"/>
                <w:vertAlign w:val="superscript"/>
              </w:rPr>
              <w:t>2,3</w:t>
            </w:r>
          </w:p>
        </w:tc>
        <w:tc>
          <w:tcPr>
            <w:tcW w:w="960" w:type="dxa"/>
            <w:vAlign w:val="bottom"/>
          </w:tcPr>
          <w:p>
            <w:pPr>
              <w:spacing w:after="0"/>
              <w:rPr>
                <w:sz w:val="23"/>
                <w:szCs w:val="23"/>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 xml:space="preserve">2.300% notes due 2022 </w:t>
            </w:r>
            <w:r>
              <w:rPr>
                <w:rFonts w:ascii="Arial" w:cs="Arial" w:eastAsia="Arial" w:hAnsi="Arial"/>
                <w:sz w:val="23"/>
                <w:szCs w:val="23"/>
                <w:color w:val="auto"/>
                <w:vertAlign w:val="superscript"/>
              </w:rPr>
              <w:t>2,3</w:t>
            </w:r>
          </w:p>
        </w:tc>
        <w:tc>
          <w:tcPr>
            <w:tcW w:w="960" w:type="dxa"/>
            <w:vAlign w:val="bottom"/>
          </w:tcPr>
          <w:p>
            <w:pPr>
              <w:spacing w:after="0"/>
              <w:rPr>
                <w:sz w:val="23"/>
                <w:szCs w:val="23"/>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 xml:space="preserve">3.100% notes due 2022 </w:t>
            </w:r>
            <w:r>
              <w:rPr>
                <w:rFonts w:ascii="Arial" w:cs="Arial" w:eastAsia="Arial" w:hAnsi="Arial"/>
                <w:sz w:val="23"/>
                <w:szCs w:val="23"/>
                <w:color w:val="auto"/>
                <w:vertAlign w:val="superscript"/>
              </w:rPr>
              <w:t>2,3</w:t>
            </w:r>
          </w:p>
        </w:tc>
        <w:tc>
          <w:tcPr>
            <w:tcW w:w="960" w:type="dxa"/>
            <w:vAlign w:val="bottom"/>
          </w:tcPr>
          <w:p>
            <w:pPr>
              <w:spacing w:after="0"/>
              <w:rPr>
                <w:sz w:val="23"/>
                <w:szCs w:val="23"/>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 xml:space="preserve">2.800% notes due 2024 </w:t>
            </w:r>
            <w:r>
              <w:rPr>
                <w:rFonts w:ascii="Arial" w:cs="Arial" w:eastAsia="Arial" w:hAnsi="Arial"/>
                <w:sz w:val="23"/>
                <w:szCs w:val="23"/>
                <w:color w:val="auto"/>
                <w:vertAlign w:val="superscript"/>
              </w:rPr>
              <w:t>2,3</w:t>
            </w:r>
          </w:p>
        </w:tc>
        <w:tc>
          <w:tcPr>
            <w:tcW w:w="960" w:type="dxa"/>
            <w:vAlign w:val="bottom"/>
          </w:tcPr>
          <w:p>
            <w:pPr>
              <w:spacing w:after="0"/>
              <w:rPr>
                <w:sz w:val="23"/>
                <w:szCs w:val="23"/>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 xml:space="preserve">4.875% notes due 2020 </w:t>
            </w:r>
            <w:r>
              <w:rPr>
                <w:rFonts w:ascii="Arial" w:cs="Arial" w:eastAsia="Arial" w:hAnsi="Arial"/>
                <w:sz w:val="23"/>
                <w:szCs w:val="23"/>
                <w:color w:val="auto"/>
                <w:vertAlign w:val="superscript"/>
              </w:rPr>
              <w:t>2,3</w:t>
            </w:r>
          </w:p>
        </w:tc>
        <w:tc>
          <w:tcPr>
            <w:tcW w:w="960" w:type="dxa"/>
            <w:vAlign w:val="bottom"/>
          </w:tcPr>
          <w:p>
            <w:pPr>
              <w:spacing w:after="0"/>
              <w:rPr>
                <w:sz w:val="23"/>
                <w:szCs w:val="23"/>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 xml:space="preserve">3.650% notes due 2023 </w:t>
            </w:r>
            <w:r>
              <w:rPr>
                <w:rFonts w:ascii="Arial" w:cs="Arial" w:eastAsia="Arial" w:hAnsi="Arial"/>
                <w:sz w:val="23"/>
                <w:szCs w:val="23"/>
                <w:color w:val="auto"/>
                <w:vertAlign w:val="superscript"/>
              </w:rPr>
              <w:t>2,3</w:t>
            </w:r>
          </w:p>
        </w:tc>
        <w:tc>
          <w:tcPr>
            <w:tcW w:w="960" w:type="dxa"/>
            <w:vAlign w:val="bottom"/>
          </w:tcPr>
          <w:p>
            <w:pPr>
              <w:spacing w:after="0"/>
              <w:rPr>
                <w:sz w:val="23"/>
                <w:szCs w:val="23"/>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57"/>
        </w:trPr>
        <w:tc>
          <w:tcPr>
            <w:tcW w:w="6200" w:type="dxa"/>
            <w:vAlign w:val="bottom"/>
          </w:tcPr>
          <w:p>
            <w:pPr>
              <w:spacing w:after="0" w:line="257" w:lineRule="exact"/>
              <w:rPr>
                <w:sz w:val="20"/>
                <w:szCs w:val="20"/>
                <w:color w:val="auto"/>
              </w:rPr>
            </w:pPr>
            <w:r>
              <w:rPr>
                <w:rFonts w:ascii="Arial" w:cs="Arial" w:eastAsia="Arial" w:hAnsi="Arial"/>
                <w:sz w:val="18"/>
                <w:szCs w:val="18"/>
                <w:color w:val="auto"/>
              </w:rPr>
              <w:t xml:space="preserve">2.650% notes due 2026 </w:t>
            </w:r>
            <w:r>
              <w:rPr>
                <w:rFonts w:ascii="Arial" w:cs="Arial" w:eastAsia="Arial" w:hAnsi="Arial"/>
                <w:sz w:val="23"/>
                <w:szCs w:val="23"/>
                <w:color w:val="auto"/>
                <w:vertAlign w:val="superscript"/>
              </w:rPr>
              <w:t>2,3</w:t>
            </w:r>
          </w:p>
        </w:tc>
        <w:tc>
          <w:tcPr>
            <w:tcW w:w="9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37"/>
        </w:trPr>
        <w:tc>
          <w:tcPr>
            <w:tcW w:w="6200" w:type="dxa"/>
            <w:vAlign w:val="bottom"/>
          </w:tcPr>
          <w:p>
            <w:pPr>
              <w:spacing w:after="0"/>
              <w:rPr>
                <w:sz w:val="20"/>
                <w:szCs w:val="20"/>
                <w:color w:val="auto"/>
              </w:rPr>
            </w:pP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13,947</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6200" w:type="dxa"/>
            <w:vAlign w:val="bottom"/>
          </w:tcPr>
          <w:p>
            <w:pPr>
              <w:spacing w:after="0"/>
              <w:rPr>
                <w:sz w:val="20"/>
                <w:szCs w:val="20"/>
                <w:color w:val="auto"/>
              </w:rPr>
            </w:pPr>
            <w:r>
              <w:rPr>
                <w:rFonts w:ascii="Arial" w:cs="Arial" w:eastAsia="Arial" w:hAnsi="Arial"/>
                <w:sz w:val="18"/>
                <w:szCs w:val="18"/>
                <w:color w:val="auto"/>
              </w:rPr>
              <w:t>8.875% notes due 2019</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EURIBOR plus 0.15% floating rate notes due 2019</w:t>
            </w:r>
          </w:p>
        </w:tc>
        <w:tc>
          <w:tcPr>
            <w:tcW w:w="960" w:type="dxa"/>
            <w:vAlign w:val="bottom"/>
          </w:tcPr>
          <w:p>
            <w:pPr>
              <w:spacing w:after="0"/>
              <w:rPr>
                <w:sz w:val="23"/>
                <w:szCs w:val="23"/>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LIBOR plus 0.350% floating rate notes due 2019</w:t>
            </w:r>
          </w:p>
        </w:tc>
        <w:tc>
          <w:tcPr>
            <w:tcW w:w="960" w:type="dxa"/>
            <w:vAlign w:val="bottom"/>
          </w:tcPr>
          <w:p>
            <w:pPr>
              <w:spacing w:after="0"/>
              <w:rPr>
                <w:sz w:val="23"/>
                <w:szCs w:val="23"/>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69"/>
        </w:trPr>
        <w:tc>
          <w:tcPr>
            <w:tcW w:w="6200" w:type="dxa"/>
            <w:vAlign w:val="bottom"/>
          </w:tcPr>
          <w:p>
            <w:pPr>
              <w:spacing w:after="0"/>
              <w:rPr>
                <w:sz w:val="20"/>
                <w:szCs w:val="20"/>
                <w:color w:val="auto"/>
              </w:rPr>
            </w:pPr>
            <w:r>
              <w:rPr>
                <w:rFonts w:ascii="Arial" w:cs="Arial" w:eastAsia="Arial" w:hAnsi="Arial"/>
                <w:sz w:val="18"/>
                <w:szCs w:val="18"/>
                <w:color w:val="auto"/>
              </w:rPr>
              <w:t>1.500% notes due 2019</w:t>
            </w:r>
          </w:p>
        </w:tc>
        <w:tc>
          <w:tcPr>
            <w:tcW w:w="960" w:type="dxa"/>
            <w:vAlign w:val="bottom"/>
          </w:tcPr>
          <w:p>
            <w:pPr>
              <w:spacing w:after="0"/>
              <w:rPr>
                <w:sz w:val="23"/>
                <w:szCs w:val="23"/>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313"/>
        </w:trPr>
        <w:tc>
          <w:tcPr>
            <w:tcW w:w="6200" w:type="dxa"/>
            <w:vAlign w:val="bottom"/>
          </w:tcPr>
          <w:p>
            <w:pPr>
              <w:spacing w:after="0"/>
              <w:rPr>
                <w:sz w:val="20"/>
                <w:szCs w:val="20"/>
                <w:color w:val="auto"/>
              </w:rPr>
            </w:pPr>
            <w:r>
              <w:rPr>
                <w:rFonts w:ascii="Arial" w:cs="Arial" w:eastAsia="Arial" w:hAnsi="Arial"/>
                <w:sz w:val="18"/>
                <w:szCs w:val="18"/>
                <w:color w:val="auto"/>
              </w:rPr>
              <w:t xml:space="preserve">1.950% notes due 2019 </w:t>
            </w:r>
            <w:r>
              <w:rPr>
                <w:rFonts w:ascii="Arial" w:cs="Arial" w:eastAsia="Arial" w:hAnsi="Arial"/>
                <w:sz w:val="23"/>
                <w:szCs w:val="23"/>
                <w:color w:val="auto"/>
                <w:vertAlign w:val="superscript"/>
              </w:rPr>
              <w:t>1</w:t>
            </w:r>
          </w:p>
        </w:tc>
        <w:tc>
          <w:tcPr>
            <w:tcW w:w="9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6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339"/>
        </w:trPr>
        <w:tc>
          <w:tcPr>
            <w:tcW w:w="6200" w:type="dxa"/>
            <w:vAlign w:val="bottom"/>
          </w:tcPr>
          <w:p>
            <w:pPr>
              <w:spacing w:after="0"/>
              <w:rPr>
                <w:sz w:val="20"/>
                <w:szCs w:val="20"/>
                <w:color w:val="auto"/>
              </w:rPr>
            </w:pPr>
            <w:r>
              <w:rPr>
                <w:rFonts w:ascii="Arial" w:cs="Arial" w:eastAsia="Arial" w:hAnsi="Arial"/>
                <w:sz w:val="18"/>
                <w:szCs w:val="18"/>
                <w:color w:val="auto"/>
              </w:rPr>
              <w:t xml:space="preserve">5.250% notes due 2019 </w:t>
            </w:r>
            <w:r>
              <w:rPr>
                <w:rFonts w:ascii="Arial" w:cs="Arial" w:eastAsia="Arial" w:hAnsi="Arial"/>
                <w:sz w:val="23"/>
                <w:szCs w:val="23"/>
                <w:color w:val="auto"/>
                <w:vertAlign w:val="superscript"/>
              </w:rPr>
              <w:t>1</w:t>
            </w:r>
          </w:p>
        </w:tc>
        <w:tc>
          <w:tcPr>
            <w:tcW w:w="960" w:type="dxa"/>
            <w:vAlign w:val="bottom"/>
          </w:tcPr>
          <w:p>
            <w:pPr>
              <w:spacing w:after="0"/>
              <w:rPr>
                <w:sz w:val="24"/>
                <w:szCs w:val="24"/>
                <w:color w:val="auto"/>
              </w:rPr>
            </w:pPr>
          </w:p>
        </w:tc>
        <w:tc>
          <w:tcPr>
            <w:tcW w:w="1480" w:type="dxa"/>
            <w:vAlign w:val="bottom"/>
            <w:vMerge w:val="restart"/>
          </w:tcPr>
          <w:p>
            <w:pPr>
              <w:jc w:val="right"/>
              <w:ind w:right="7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134"/>
        </w:trPr>
        <w:tc>
          <w:tcPr>
            <w:tcW w:w="6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00" w:type="dxa"/>
            <w:vAlign w:val="bottom"/>
          </w:tcPr>
          <w:p>
            <w:pPr>
              <w:spacing w:after="0"/>
              <w:rPr>
                <w:sz w:val="20"/>
                <w:szCs w:val="20"/>
                <w:color w:val="auto"/>
              </w:rPr>
            </w:pP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-1645285</wp:posOffset>
            </wp:positionH>
            <wp:positionV relativeFrom="paragraph">
              <wp:posOffset>-4053840</wp:posOffset>
            </wp:positionV>
            <wp:extent cx="71323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-3710940</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-3368040</wp:posOffset>
            </wp:positionV>
            <wp:extent cx="71323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-3025140</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-2682240</wp:posOffset>
            </wp:positionV>
            <wp:extent cx="71323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-2339340</wp:posOffset>
            </wp:positionV>
            <wp:extent cx="71323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-1996440</wp:posOffset>
            </wp:positionV>
            <wp:extent cx="71323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-1628140</wp:posOffset>
            </wp:positionV>
            <wp:extent cx="7132320" cy="188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-1268095</wp:posOffset>
            </wp:positionV>
            <wp:extent cx="71323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-925195</wp:posOffset>
            </wp:positionV>
            <wp:extent cx="7132320" cy="4114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-213995</wp:posOffset>
            </wp:positionV>
            <wp:extent cx="7132320" cy="1968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9" w:lineRule="exact"/>
        <w:rPr>
          <w:sz w:val="20"/>
          <w:szCs w:val="20"/>
          <w:color w:val="auto"/>
        </w:rPr>
      </w:pPr>
    </w:p>
    <w:p>
      <w:pPr>
        <w:sectPr>
          <w:pgSz w:w="11900" w:h="16838" w:orient="portrait"/>
          <w:cols w:equalWidth="0" w:num="2">
            <w:col w:w="1880" w:space="720"/>
            <w:col w:w="8640"/>
          </w:cols>
          <w:pgMar w:left="320" w:top="121" w:right="339" w:bottom="1440" w:gutter="0" w:footer="0" w:header="0"/>
          <w:type w:val="continuous"/>
        </w:sectPr>
      </w:pPr>
    </w:p>
    <w:p>
      <w:pPr>
        <w:spacing w:after="0"/>
        <w:rPr>
          <w:sz w:val="20"/>
          <w:szCs w:val="20"/>
          <w:color w:val="auto"/>
        </w:rPr>
      </w:pPr>
      <w:r>
        <w:rPr>
          <w:rFonts w:ascii="Arial" w:cs="Arial" w:eastAsia="Arial" w:hAnsi="Arial"/>
          <w:sz w:val="14"/>
          <w:szCs w:val="14"/>
          <w:color w:val="auto"/>
        </w:rPr>
        <w:t>1 The notes and term loan were acquired in connection with the Rockwell Collins acquisition and have been subsequently repaid.</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2 Extinguishment of Raytheon Technologies short term and long term debt in order to achieve the net indebtedness required by the merger agreement with Raytheon.</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3 In connection with the early repayment of outstanding principal, Raytheon Technologies paid approximately $660 million of debt extinguishment costs.</w:t>
      </w:r>
    </w:p>
    <w:p>
      <w:pPr>
        <w:spacing w:after="0" w:line="113"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 average maturity of our long-term debt at March 31, 2020 is approximately 14 years. The average interest expense rate on our total borrowings for the quarters ended March 31, 2020 and 2019 was as follows:</w:t>
      </w:r>
    </w:p>
    <w:p>
      <w:pPr>
        <w:spacing w:after="0" w:line="108" w:lineRule="exact"/>
        <w:rPr>
          <w:sz w:val="20"/>
          <w:szCs w:val="20"/>
          <w:color w:val="auto"/>
        </w:rPr>
      </w:pPr>
    </w:p>
    <w:p>
      <w:pPr>
        <w:ind w:left="8760"/>
        <w:spacing w:after="0"/>
        <w:rPr>
          <w:sz w:val="20"/>
          <w:szCs w:val="20"/>
          <w:color w:val="auto"/>
        </w:rPr>
      </w:pPr>
      <w:r>
        <w:rPr>
          <w:rFonts w:ascii="Arial" w:cs="Arial" w:eastAsia="Arial" w:hAnsi="Arial"/>
          <w:sz w:val="14"/>
          <w:szCs w:val="14"/>
          <w:b w:val="1"/>
          <w:bCs w:val="1"/>
          <w:color w:val="auto"/>
        </w:rPr>
        <w:t>Quarter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23495</wp:posOffset>
            </wp:positionV>
            <wp:extent cx="21342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2019</w:t>
            </w:r>
          </w:p>
        </w:tc>
      </w:tr>
      <w:tr>
        <w:trPr>
          <w:trHeight w:val="243"/>
        </w:trPr>
        <w:tc>
          <w:tcPr>
            <w:tcW w:w="8920" w:type="dxa"/>
            <w:vAlign w:val="bottom"/>
            <w:gridSpan w:val="2"/>
            <w:shd w:val="clear" w:color="auto" w:fill="CCEEFF"/>
          </w:tcPr>
          <w:p>
            <w:pPr>
              <w:jc w:val="right"/>
              <w:ind w:right="6708"/>
              <w:spacing w:after="0"/>
              <w:rPr>
                <w:sz w:val="20"/>
                <w:szCs w:val="20"/>
                <w:color w:val="auto"/>
              </w:rPr>
            </w:pPr>
            <w:r>
              <w:rPr>
                <w:rFonts w:ascii="Arial" w:cs="Arial" w:eastAsia="Arial" w:hAnsi="Arial"/>
                <w:sz w:val="18"/>
                <w:szCs w:val="18"/>
                <w:color w:val="auto"/>
                <w:w w:val="88"/>
              </w:rPr>
              <w:t>Average interest expense rate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r>
      <w:tr>
        <w:trPr>
          <w:trHeight w:val="27"/>
        </w:trPr>
        <w:tc>
          <w:tcPr>
            <w:tcW w:w="78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350" w:lineRule="exact"/>
        <w:rPr>
          <w:sz w:val="20"/>
          <w:szCs w:val="20"/>
          <w:color w:val="auto"/>
        </w:rPr>
      </w:pPr>
    </w:p>
    <w:p>
      <w:pPr>
        <w:ind w:right="420" w:firstLine="396"/>
        <w:spacing w:after="0" w:line="277" w:lineRule="auto"/>
        <w:rPr>
          <w:sz w:val="20"/>
          <w:szCs w:val="20"/>
          <w:color w:val="auto"/>
        </w:rPr>
      </w:pPr>
      <w:r>
        <w:rPr>
          <w:rFonts w:ascii="Arial" w:cs="Arial" w:eastAsia="Arial" w:hAnsi="Arial"/>
          <w:sz w:val="18"/>
          <w:szCs w:val="18"/>
          <w:color w:val="auto"/>
        </w:rPr>
        <w:t>We have an existing universal shelf registration statement filed with the SEC for an indeterminate amount of debt and equity securities for future issuance, subject to our internal limitation on the amount of debt to be issued under this shelf registration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121" w:lineRule="exact"/>
        <w:rPr>
          <w:sz w:val="20"/>
          <w:szCs w:val="20"/>
          <w:color w:val="auto"/>
        </w:rPr>
      </w:pPr>
    </w:p>
    <w:p>
      <w:pPr>
        <w:ind w:right="180" w:firstLine="405"/>
        <w:spacing w:after="0" w:line="301" w:lineRule="auto"/>
        <w:rPr>
          <w:sz w:val="20"/>
          <w:szCs w:val="20"/>
          <w:color w:val="auto"/>
        </w:rPr>
      </w:pPr>
      <w:r>
        <w:rPr>
          <w:rFonts w:ascii="Arial" w:cs="Arial" w:eastAsia="Arial" w:hAnsi="Arial"/>
          <w:sz w:val="16"/>
          <w:szCs w:val="16"/>
          <w:color w:val="auto"/>
        </w:rPr>
        <w:t>As a result of the Separation Transactions, the Distributions and the Raytheon Merger, coupled with the impact of the wide range of uncertainties of the COVID-19 pandemic, rather than applying a forecasted annualized effective tax rate, the Company recorded its first quarter tax expense based upon income and tax items as they occurred in the quarter. The increase in the effective tax rate for the quarter ended March 31, 2020 is primarily the result of tax charges in connection with the Company’s Separation Transactions, including the impairment of deferred tax assets not expected to be utilized.</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100" w:firstLine="405"/>
        <w:spacing w:after="0" w:line="275" w:lineRule="auto"/>
        <w:rPr>
          <w:sz w:val="20"/>
          <w:szCs w:val="20"/>
          <w:color w:val="auto"/>
        </w:rPr>
      </w:pPr>
      <w:r>
        <w:rPr>
          <w:rFonts w:ascii="Arial" w:cs="Arial" w:eastAsia="Arial" w:hAnsi="Arial"/>
          <w:sz w:val="17"/>
          <w:szCs w:val="17"/>
          <w:color w:val="auto"/>
        </w:rPr>
        <w:t>We conduct business globally and, as a result, Raytheon Technologies or one or more of our subsidiaries files income tax returns in the U.S. federal jurisdiction and various state and foreign jurisdictions. In the normal course of business we are subject to examination by taxing authorities throughout the world, including such major jurisdictions as Australia, Belgium, Brazil, Canada, China, France, Germany, Hong Kong, India, Italy, Japan, Mexico, Netherlands, Poland, Singapore, South Korea, Spain, Switzerland, the United Kingdom, and the United States. With few exceptions, we are no longer subject to U.S. federal, state and local, or non-U.S. income tax examinations for years before 2009.</w:t>
      </w:r>
    </w:p>
    <w:p>
      <w:pPr>
        <w:spacing w:after="0" w:line="68"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As a result of the Separation Transactions and the Distributions in the second quarter of 2020, we expect to transfer unrecognized tax benefits to Carrier and Otis of approximately $440 million in the second quarter including certain amounts related to pending tax litigation in Germany as further discussed in Note 16, Contingent Liabilities. Pursuant to the terms of the separation agreements, certain other unrecognized tax benefits retained by Raytheon Technologies will be subject to indemnification. Additionally, it is reasonably possible that a net reduction within the range of $100 million to $300 million of unrecognized tax benefits may occur within the next 12 months as a result of worldwide uncertain tax positions, the revaluation of current uncertain tax positions arising from the issuance of legislation, regulatory or other guidance or developments in examinations, in appeals, or in the courts, or the closure of tax statutes.</w:t>
      </w:r>
    </w:p>
    <w:p>
      <w:pPr>
        <w:spacing w:after="0" w:line="73"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color w:val="auto"/>
        </w:rPr>
        <w:t>The Examination Division of the Internal Revenue Service (IRS) is currently auditing Rockwell Collins fiscal tax years 2016 and 2017, filed prior to its acquisition by Raytheon Technologies. The audit is expected to close before the end of 2020. The Examination Division of the IRS has notified the Company of its intention to commence an audit of Raytheon Technologies tax years 2017 and 2018 in the second quarter of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Employee Benefit Plans</w:t>
      </w:r>
    </w:p>
    <w:p>
      <w:pPr>
        <w:spacing w:after="0" w:line="117"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Pension and Postretirement Plans. </w:t>
      </w:r>
      <w:r>
        <w:rPr>
          <w:rFonts w:ascii="Arial" w:cs="Arial" w:eastAsia="Arial" w:hAnsi="Arial"/>
          <w:sz w:val="18"/>
          <w:szCs w:val="18"/>
          <w:color w:val="auto"/>
        </w:rPr>
        <w:t>We sponsor both funded and unfunded domestic and foreign defined pension and other postretirement benefit plans,</w:t>
      </w:r>
      <w:r>
        <w:rPr>
          <w:rFonts w:ascii="Arial" w:cs="Arial" w:eastAsia="Arial" w:hAnsi="Arial"/>
          <w:sz w:val="18"/>
          <w:szCs w:val="18"/>
          <w:b w:val="1"/>
          <w:bCs w:val="1"/>
          <w:color w:val="auto"/>
        </w:rPr>
        <w:t xml:space="preserve"> </w:t>
      </w:r>
      <w:r>
        <w:rPr>
          <w:rFonts w:ascii="Arial" w:cs="Arial" w:eastAsia="Arial" w:hAnsi="Arial"/>
          <w:sz w:val="18"/>
          <w:szCs w:val="18"/>
          <w:color w:val="auto"/>
        </w:rPr>
        <w:t>and defined contribution plans. Contributions to our plans were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776"/>
              <w:spacing w:after="0"/>
              <w:rPr>
                <w:sz w:val="20"/>
                <w:szCs w:val="20"/>
                <w:color w:val="auto"/>
              </w:rPr>
            </w:pPr>
            <w:r>
              <w:rPr>
                <w:rFonts w:ascii="Arial" w:cs="Arial" w:eastAsia="Arial" w:hAnsi="Arial"/>
                <w:sz w:val="14"/>
                <w:szCs w:val="14"/>
                <w:b w:val="1"/>
                <w:bCs w:val="1"/>
                <w:color w:val="auto"/>
              </w:rPr>
              <w:t>Quarter Ended March 31,</w:t>
            </w:r>
          </w:p>
        </w:tc>
      </w:tr>
      <w:tr>
        <w:trPr>
          <w:trHeight w:val="196"/>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2019</w:t>
            </w: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Defined benefit plans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32</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Defined contribution plans</w:t>
            </w:r>
          </w:p>
        </w:tc>
        <w:tc>
          <w:tcPr>
            <w:tcW w:w="360" w:type="dxa"/>
            <w:vAlign w:val="bottom"/>
          </w:tcPr>
          <w:p>
            <w:pPr>
              <w:spacing w:after="0"/>
              <w:rPr>
                <w:sz w:val="21"/>
                <w:szCs w:val="21"/>
                <w:color w:val="auto"/>
              </w:rPr>
            </w:pPr>
          </w:p>
        </w:tc>
        <w:tc>
          <w:tcPr>
            <w:tcW w:w="1180" w:type="dxa"/>
            <w:vAlign w:val="bottom"/>
          </w:tcPr>
          <w:p>
            <w:pPr>
              <w:jc w:val="right"/>
              <w:ind w:right="59"/>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76"/>
              <w:spacing w:after="0"/>
              <w:rPr>
                <w:sz w:val="20"/>
                <w:szCs w:val="20"/>
                <w:color w:val="auto"/>
              </w:rPr>
            </w:pPr>
            <w:r>
              <w:rPr>
                <w:rFonts w:ascii="Arial" w:cs="Arial" w:eastAsia="Arial" w:hAnsi="Arial"/>
                <w:sz w:val="18"/>
                <w:szCs w:val="18"/>
                <w:color w:val="auto"/>
              </w:rPr>
              <w:t>153</w:t>
            </w:r>
          </w:p>
        </w:tc>
      </w:tr>
    </w:tbl>
    <w:p>
      <w:pPr>
        <w:spacing w:after="0" w:line="12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 made no contributions to our domestic defined benefit pension plans for the quarters ended March 31, 2020 and 2019. Included in the current year contributions to employer sponsored defined contribution plans for the quarter ended March 31, 2020 is $48 million of additional contributions resulting from the 2019 amendment to our domestic pension plans whereby plan participants ceased accrual of additional benefits for future service effective December 31, 2019. The following table illustrates the components of net periodic benefit (income) cost for our defined pension and other postretirement benefit plans:</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3"/>
          </w:tcPr>
          <w:p>
            <w:pPr>
              <w:jc w:val="center"/>
              <w:ind w:left="435"/>
              <w:spacing w:after="0"/>
              <w:rPr>
                <w:sz w:val="20"/>
                <w:szCs w:val="20"/>
                <w:color w:val="auto"/>
              </w:rPr>
            </w:pPr>
            <w:r>
              <w:rPr>
                <w:rFonts w:ascii="Arial" w:cs="Arial" w:eastAsia="Arial" w:hAnsi="Arial"/>
                <w:sz w:val="14"/>
                <w:szCs w:val="14"/>
                <w:b w:val="1"/>
                <w:bCs w:val="1"/>
                <w:color w:val="auto"/>
                <w:w w:val="88"/>
              </w:rPr>
              <w:t>Pension Benefits</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8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rPr>
              <w:t>Other Postretirement Benefits</w:t>
            </w:r>
          </w:p>
        </w:tc>
      </w:tr>
      <w:tr>
        <w:trPr>
          <w:trHeight w:val="192"/>
        </w:trPr>
        <w:tc>
          <w:tcPr>
            <w:tcW w:w="5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6"/>
              </w:rPr>
              <w:t>Quarter Ended March 31,</w:t>
            </w:r>
          </w:p>
        </w:tc>
        <w:tc>
          <w:tcPr>
            <w:tcW w:w="260" w:type="dxa"/>
            <w:vAlign w:val="bottom"/>
          </w:tcPr>
          <w:p>
            <w:pPr>
              <w:spacing w:after="0"/>
              <w:rPr>
                <w:sz w:val="16"/>
                <w:szCs w:val="16"/>
                <w:color w:val="auto"/>
              </w:rPr>
            </w:pPr>
          </w:p>
        </w:tc>
        <w:tc>
          <w:tcPr>
            <w:tcW w:w="248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Quarter Ended March 31,</w:t>
            </w:r>
          </w:p>
        </w:tc>
      </w:tr>
      <w:tr>
        <w:trPr>
          <w:trHeight w:val="196"/>
        </w:trPr>
        <w:tc>
          <w:tcPr>
            <w:tcW w:w="55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r>
      <w:tr>
        <w:trPr>
          <w:trHeight w:val="250"/>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Service cost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21"/>
                <w:szCs w:val="21"/>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8</w:t>
            </w:r>
          </w:p>
        </w:tc>
      </w:tr>
      <w:tr>
        <w:trPr>
          <w:trHeight w:val="27"/>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Amortization of prior service cost (credit)</w:t>
            </w:r>
          </w:p>
        </w:tc>
        <w:tc>
          <w:tcPr>
            <w:tcW w:w="300" w:type="dxa"/>
            <w:vAlign w:val="bottom"/>
          </w:tcPr>
          <w:p>
            <w:pPr>
              <w:spacing w:after="0"/>
              <w:rPr>
                <w:sz w:val="21"/>
                <w:szCs w:val="21"/>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w:t>
            </w:r>
          </w:p>
        </w:tc>
      </w:tr>
      <w:tr>
        <w:trPr>
          <w:trHeight w:val="27"/>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Recognized actuarial net loss (gain)</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Net settlement and curtailment loss</w:t>
            </w:r>
          </w:p>
        </w:tc>
        <w:tc>
          <w:tcPr>
            <w:tcW w:w="300" w:type="dxa"/>
            <w:vAlign w:val="bottom"/>
          </w:tcPr>
          <w:p>
            <w:pPr>
              <w:spacing w:after="0"/>
              <w:rPr>
                <w:sz w:val="21"/>
                <w:szCs w:val="21"/>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5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9"/>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periodic benefit (income) cost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Restructuring Costs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quarter ended March 31, 2020, we recorded net pre-tax restructuring costs totaling $19 million for new and ongoing restructuring actions.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recorded charges in the segments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8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6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56"/>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Otis</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w:t>
            </w:r>
          </w:p>
        </w:tc>
      </w:tr>
      <w:tr>
        <w:trPr>
          <w:trHeight w:val="243"/>
        </w:trPr>
        <w:tc>
          <w:tcPr>
            <w:tcW w:w="9840" w:type="dxa"/>
            <w:vAlign w:val="bottom"/>
          </w:tcPr>
          <w:p>
            <w:pPr>
              <w:ind w:left="20"/>
              <w:spacing w:after="0"/>
              <w:rPr>
                <w:sz w:val="20"/>
                <w:szCs w:val="20"/>
                <w:color w:val="auto"/>
              </w:rPr>
            </w:pPr>
            <w:r>
              <w:rPr>
                <w:rFonts w:ascii="Arial" w:cs="Arial" w:eastAsia="Arial" w:hAnsi="Arial"/>
                <w:sz w:val="18"/>
                <w:szCs w:val="18"/>
                <w:color w:val="auto"/>
              </w:rPr>
              <w:t>Carrier</w:t>
            </w:r>
          </w:p>
        </w:tc>
        <w:tc>
          <w:tcPr>
            <w:tcW w:w="60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5</w:t>
            </w:r>
          </w:p>
        </w:tc>
      </w:tr>
      <w:tr>
        <w:trPr>
          <w:trHeight w:val="27"/>
        </w:trPr>
        <w:tc>
          <w:tcPr>
            <w:tcW w:w="9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Pratt &amp; Whitney</w:t>
            </w:r>
          </w:p>
        </w:tc>
        <w:tc>
          <w:tcPr>
            <w:tcW w:w="6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9840" w:type="dxa"/>
            <w:vAlign w:val="bottom"/>
          </w:tcPr>
          <w:p>
            <w:pPr>
              <w:ind w:left="20"/>
              <w:spacing w:after="0"/>
              <w:rPr>
                <w:sz w:val="20"/>
                <w:szCs w:val="20"/>
                <w:color w:val="auto"/>
              </w:rPr>
            </w:pPr>
            <w:r>
              <w:rPr>
                <w:rFonts w:ascii="Arial" w:cs="Arial" w:eastAsia="Arial" w:hAnsi="Arial"/>
                <w:sz w:val="18"/>
                <w:szCs w:val="18"/>
                <w:color w:val="auto"/>
              </w:rPr>
              <w:t>Collins Aerospace Systems</w:t>
            </w:r>
          </w:p>
        </w:tc>
        <w:tc>
          <w:tcPr>
            <w:tcW w:w="60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6</w:t>
            </w:r>
          </w:p>
        </w:tc>
      </w:tr>
      <w:tr>
        <w:trPr>
          <w:trHeight w:val="27"/>
        </w:trPr>
        <w:tc>
          <w:tcPr>
            <w:tcW w:w="9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Eliminations and other</w:t>
            </w:r>
          </w:p>
        </w:tc>
        <w:tc>
          <w:tcPr>
            <w:tcW w:w="6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r>
      <w:tr>
        <w:trPr>
          <w:trHeight w:val="263"/>
        </w:trPr>
        <w:tc>
          <w:tcPr>
            <w:tcW w:w="9840" w:type="dxa"/>
            <w:vAlign w:val="bottom"/>
          </w:tcPr>
          <w:p>
            <w:pPr>
              <w:ind w:left="20"/>
              <w:spacing w:after="0"/>
              <w:rPr>
                <w:sz w:val="20"/>
                <w:szCs w:val="20"/>
                <w:color w:val="auto"/>
              </w:rPr>
            </w:pPr>
            <w:r>
              <w:rPr>
                <w:rFonts w:ascii="Arial" w:cs="Arial" w:eastAsia="Arial" w:hAnsi="Arial"/>
                <w:sz w:val="18"/>
                <w:szCs w:val="18"/>
                <w:color w:val="auto"/>
              </w:rPr>
              <w:t>Total</w:t>
            </w: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19</w:t>
            </w:r>
          </w:p>
        </w:tc>
      </w:tr>
      <w:tr>
        <w:trPr>
          <w:trHeight w:val="21"/>
        </w:trPr>
        <w:tc>
          <w:tcPr>
            <w:tcW w:w="98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60" w:firstLine="445"/>
        <w:spacing w:after="0" w:line="277" w:lineRule="auto"/>
        <w:rPr>
          <w:sz w:val="20"/>
          <w:szCs w:val="20"/>
          <w:color w:val="auto"/>
        </w:rPr>
      </w:pPr>
      <w:r>
        <w:rPr>
          <w:rFonts w:ascii="Arial" w:cs="Arial" w:eastAsia="Arial" w:hAnsi="Arial"/>
          <w:sz w:val="18"/>
          <w:szCs w:val="18"/>
          <w:color w:val="auto"/>
        </w:rPr>
        <w:t>Restructuring charges incurred during the quarter ended March 31, 2020 primarily relate to actions initiated during 2020 and 2019, and were recorded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8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6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56"/>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w:t>
            </w:r>
          </w:p>
        </w:tc>
      </w:tr>
      <w:tr>
        <w:trPr>
          <w:trHeight w:val="243"/>
        </w:trPr>
        <w:tc>
          <w:tcPr>
            <w:tcW w:w="984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60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13</w:t>
            </w:r>
          </w:p>
        </w:tc>
      </w:tr>
      <w:tr>
        <w:trPr>
          <w:trHeight w:val="27"/>
        </w:trPr>
        <w:tc>
          <w:tcPr>
            <w:tcW w:w="98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88"/>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19</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 xml:space="preserve">2020 Actions. </w:t>
      </w:r>
      <w:r>
        <w:rPr>
          <w:rFonts w:ascii="Arial" w:cs="Arial" w:eastAsia="Arial" w:hAnsi="Arial"/>
          <w:sz w:val="18"/>
          <w:szCs w:val="18"/>
          <w:color w:val="auto"/>
        </w:rPr>
        <w:t>During the quarter ended March 31, 2020, we recorded net pre-tax restructuring costs of $8 million, comprised of $2 million in cost of sales</w:t>
      </w:r>
      <w:r>
        <w:rPr>
          <w:rFonts w:ascii="Arial" w:cs="Arial" w:eastAsia="Arial" w:hAnsi="Arial"/>
          <w:sz w:val="18"/>
          <w:szCs w:val="18"/>
          <w:b w:val="1"/>
          <w:bCs w:val="1"/>
          <w:color w:val="auto"/>
        </w:rPr>
        <w:t xml:space="preserve"> </w:t>
      </w:r>
      <w:r>
        <w:rPr>
          <w:rFonts w:ascii="Arial" w:cs="Arial" w:eastAsia="Arial" w:hAnsi="Arial"/>
          <w:sz w:val="18"/>
          <w:szCs w:val="18"/>
          <w:color w:val="auto"/>
        </w:rPr>
        <w:t>and $6 million in selling, general and administrative expenses. The 2020 actions relate to ongoing cost reduction efforts, including workforce reductions and the consolidation of field and manufacturing operations.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accrual balance and utilization for the 2020 restructuring actions for the quarter ended March 31, 2020:</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Severance</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Facility Exit and</w:t>
            </w:r>
          </w:p>
        </w:tc>
        <w:tc>
          <w:tcPr>
            <w:tcW w:w="340" w:type="dxa"/>
            <w:vAlign w:val="bottom"/>
          </w:tcPr>
          <w:p>
            <w:pPr>
              <w:spacing w:after="0"/>
              <w:rPr>
                <w:sz w:val="14"/>
                <w:szCs w:val="14"/>
                <w:color w:val="auto"/>
              </w:rPr>
            </w:pPr>
          </w:p>
        </w:tc>
        <w:tc>
          <w:tcPr>
            <w:tcW w:w="10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2"/>
              </w:rPr>
              <w:t>Other Costs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pre-tax restructuring costs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center"/>
              <w:ind w:left="655"/>
              <w:spacing w:after="0"/>
              <w:rPr>
                <w:sz w:val="20"/>
                <w:szCs w:val="20"/>
                <w:color w:val="auto"/>
              </w:rPr>
            </w:pPr>
            <w:r>
              <w:rPr>
                <w:rFonts w:ascii="Arial" w:cs="Arial" w:eastAsia="Arial" w:hAnsi="Arial"/>
                <w:sz w:val="18"/>
                <w:szCs w:val="18"/>
                <w:color w:val="auto"/>
                <w:w w:val="79"/>
              </w:rPr>
              <w:t>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center"/>
              <w:ind w:left="575"/>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43"/>
        </w:trPr>
        <w:tc>
          <w:tcPr>
            <w:tcW w:w="6820" w:type="dxa"/>
            <w:vAlign w:val="bottom"/>
          </w:tcPr>
          <w:p>
            <w:pPr>
              <w:ind w:left="20"/>
              <w:spacing w:after="0"/>
              <w:rPr>
                <w:sz w:val="20"/>
                <w:szCs w:val="20"/>
                <w:color w:val="auto"/>
              </w:rPr>
            </w:pPr>
            <w:r>
              <w:rPr>
                <w:rFonts w:ascii="Arial" w:cs="Arial" w:eastAsia="Arial" w:hAnsi="Arial"/>
                <w:sz w:val="18"/>
                <w:szCs w:val="18"/>
                <w:color w:val="auto"/>
              </w:rPr>
              <w:t>Utilization, foreign exchange and other costs</w:t>
            </w:r>
          </w:p>
        </w:tc>
        <w:tc>
          <w:tcPr>
            <w:tcW w:w="240" w:type="dxa"/>
            <w:vAlign w:val="bottom"/>
          </w:tcPr>
          <w:p>
            <w:pPr>
              <w:spacing w:after="0"/>
              <w:rPr>
                <w:sz w:val="21"/>
                <w:szCs w:val="21"/>
                <w:color w:val="auto"/>
              </w:rPr>
            </w:pPr>
          </w:p>
        </w:tc>
        <w:tc>
          <w:tcPr>
            <w:tcW w:w="1140" w:type="dxa"/>
            <w:vAlign w:val="bottom"/>
          </w:tcPr>
          <w:p>
            <w:pPr>
              <w:jc w:val="center"/>
              <w:ind w:left="635"/>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60" w:type="dxa"/>
            <w:vAlign w:val="bottom"/>
          </w:tcPr>
          <w:p>
            <w:pPr>
              <w:jc w:val="center"/>
              <w:ind w:left="555"/>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7"/>
        </w:trPr>
        <w:tc>
          <w:tcPr>
            <w:tcW w:w="6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March 31, 2020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center"/>
              <w:ind w:left="655"/>
              <w:spacing w:after="0"/>
              <w:rPr>
                <w:sz w:val="20"/>
                <w:szCs w:val="20"/>
                <w:color w:val="auto"/>
              </w:rPr>
            </w:pPr>
            <w:r>
              <w:rPr>
                <w:rFonts w:ascii="Arial" w:cs="Arial" w:eastAsia="Arial" w:hAnsi="Arial"/>
                <w:sz w:val="18"/>
                <w:szCs w:val="18"/>
                <w:color w:val="auto"/>
                <w:w w:val="79"/>
              </w:rPr>
              <w:t>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ind w:left="575"/>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expected, incurred and remaining costs for the 2020 restructuring actions by segment:</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Expected</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Costs Incurred</w:t>
            </w:r>
          </w:p>
        </w:tc>
        <w:tc>
          <w:tcPr>
            <w:tcW w:w="1400" w:type="dxa"/>
            <w:vAlign w:val="bottom"/>
            <w:gridSpan w:val="2"/>
            <w:vMerge w:val="restart"/>
          </w:tcPr>
          <w:p>
            <w:pPr>
              <w:jc w:val="right"/>
              <w:ind w:right="13"/>
              <w:spacing w:after="0"/>
              <w:rPr>
                <w:sz w:val="20"/>
                <w:szCs w:val="20"/>
                <w:color w:val="auto"/>
              </w:rPr>
            </w:pPr>
            <w:r>
              <w:rPr>
                <w:rFonts w:ascii="Arial" w:cs="Arial" w:eastAsia="Arial" w:hAnsi="Arial"/>
                <w:sz w:val="14"/>
                <w:szCs w:val="14"/>
                <w:b w:val="1"/>
                <w:bCs w:val="1"/>
                <w:color w:val="auto"/>
                <w:w w:val="97"/>
              </w:rPr>
              <w:t>Remaining Costs at</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1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8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020" w:type="dxa"/>
            <w:vAlign w:val="bottom"/>
          </w:tcPr>
          <w:p>
            <w:pPr>
              <w:jc w:val="right"/>
              <w:ind w:right="79"/>
              <w:spacing w:after="0"/>
              <w:rPr>
                <w:sz w:val="20"/>
                <w:szCs w:val="20"/>
                <w:color w:val="auto"/>
              </w:rPr>
            </w:pPr>
            <w:r>
              <w:rPr>
                <w:rFonts w:ascii="Arial" w:cs="Arial" w:eastAsia="Arial" w:hAnsi="Arial"/>
                <w:sz w:val="14"/>
                <w:szCs w:val="14"/>
                <w:b w:val="1"/>
                <w:bCs w:val="1"/>
                <w:color w:val="auto"/>
              </w:rPr>
              <w:t>Costs</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March 31, 2020</w:t>
            </w:r>
          </w:p>
        </w:tc>
        <w:tc>
          <w:tcPr>
            <w:tcW w:w="180" w:type="dxa"/>
            <w:vAlign w:val="bottom"/>
          </w:tcPr>
          <w:p>
            <w:pPr>
              <w:spacing w:after="0"/>
              <w:rPr>
                <w:sz w:val="16"/>
                <w:szCs w:val="16"/>
                <w:color w:val="auto"/>
              </w:rPr>
            </w:pPr>
          </w:p>
        </w:tc>
        <w:tc>
          <w:tcPr>
            <w:tcW w:w="1220" w:type="dxa"/>
            <w:vAlign w:val="bottom"/>
          </w:tcPr>
          <w:p>
            <w:pPr>
              <w:jc w:val="right"/>
              <w:ind w:right="133"/>
              <w:spacing w:after="0"/>
              <w:rPr>
                <w:sz w:val="20"/>
                <w:szCs w:val="20"/>
                <w:color w:val="auto"/>
              </w:rPr>
            </w:pPr>
            <w:r>
              <w:rPr>
                <w:rFonts w:ascii="Arial" w:cs="Arial" w:eastAsia="Arial" w:hAnsi="Arial"/>
                <w:sz w:val="14"/>
                <w:szCs w:val="14"/>
                <w:b w:val="1"/>
                <w:bCs w:val="1"/>
                <w:color w:val="auto"/>
                <w:w w:val="98"/>
              </w:rPr>
              <w:t>March 31, 2020</w:t>
            </w:r>
          </w:p>
        </w:tc>
        <w:tc>
          <w:tcPr>
            <w:tcW w:w="0" w:type="dxa"/>
            <w:vAlign w:val="bottom"/>
          </w:tcPr>
          <w:p>
            <w:pPr>
              <w:spacing w:after="0"/>
              <w:rPr>
                <w:sz w:val="1"/>
                <w:szCs w:val="1"/>
                <w:color w:val="auto"/>
              </w:rPr>
            </w:pPr>
          </w:p>
        </w:tc>
      </w:tr>
      <w:tr>
        <w:trPr>
          <w:trHeight w:val="250"/>
        </w:trPr>
        <w:tc>
          <w:tcPr>
            <w:tcW w:w="6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Otis</w:t>
            </w:r>
          </w:p>
        </w:tc>
        <w:tc>
          <w:tcPr>
            <w:tcW w:w="1020" w:type="dxa"/>
            <w:vAlign w:val="bottom"/>
            <w:tcBorders>
              <w:top w:val="single" w:sz="8" w:color="auto"/>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Carrier</w:t>
            </w:r>
          </w:p>
        </w:tc>
        <w:tc>
          <w:tcPr>
            <w:tcW w:w="1020" w:type="dxa"/>
            <w:vAlign w:val="bottom"/>
          </w:tcPr>
          <w:p>
            <w:pPr>
              <w:spacing w:after="0"/>
              <w:rPr>
                <w:sz w:val="21"/>
                <w:szCs w:val="21"/>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ind w:left="9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Pratt &amp; Whitney</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Collins Aerospace Systems</w:t>
            </w:r>
          </w:p>
        </w:tc>
        <w:tc>
          <w:tcPr>
            <w:tcW w:w="1020" w:type="dxa"/>
            <w:vAlign w:val="bottom"/>
          </w:tcPr>
          <w:p>
            <w:pPr>
              <w:spacing w:after="0"/>
              <w:rPr>
                <w:sz w:val="21"/>
                <w:szCs w:val="21"/>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ind w:left="9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Eliminations and other</w:t>
            </w:r>
          </w:p>
        </w:tc>
        <w:tc>
          <w:tcPr>
            <w:tcW w:w="10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3"/>
        </w:trPr>
        <w:tc>
          <w:tcPr>
            <w:tcW w:w="6860" w:type="dxa"/>
            <w:vAlign w:val="bottom"/>
          </w:tcPr>
          <w:p>
            <w:pPr>
              <w:ind w:left="20"/>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17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
        </w:trPr>
        <w:tc>
          <w:tcPr>
            <w:tcW w:w="68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We are targeting to complete the majority of the remaining workforce and facility related cost reduction actions during 2020 and 2021. In response to the anticipated significant impact of the COVID-19 pandemic on our future operating results, the Company is likely to initiate further actions in 2020, however no specific plans for other significant actions have been finalized at this time.</w:t>
      </w:r>
    </w:p>
    <w:p>
      <w:pPr>
        <w:spacing w:after="0" w:line="180" w:lineRule="exact"/>
        <w:rPr>
          <w:sz w:val="20"/>
          <w:szCs w:val="20"/>
          <w:color w:val="auto"/>
        </w:rPr>
      </w:pPr>
    </w:p>
    <w:p>
      <w:pPr>
        <w:ind w:right="120"/>
        <w:spacing w:after="0" w:line="303" w:lineRule="auto"/>
        <w:rPr>
          <w:sz w:val="20"/>
          <w:szCs w:val="20"/>
          <w:color w:val="auto"/>
        </w:rPr>
      </w:pPr>
      <w:r>
        <w:rPr>
          <w:rFonts w:ascii="Arial" w:cs="Arial" w:eastAsia="Arial" w:hAnsi="Arial"/>
          <w:sz w:val="16"/>
          <w:szCs w:val="16"/>
          <w:b w:val="1"/>
          <w:bCs w:val="1"/>
          <w:color w:val="auto"/>
        </w:rPr>
        <w:t xml:space="preserve">2019 Actions. </w:t>
      </w:r>
      <w:r>
        <w:rPr>
          <w:rFonts w:ascii="Arial" w:cs="Arial" w:eastAsia="Arial" w:hAnsi="Arial"/>
          <w:sz w:val="16"/>
          <w:szCs w:val="16"/>
          <w:color w:val="auto"/>
        </w:rPr>
        <w:t>During the quarter ended March 31, 2020, we recorded net pre-tax restructuring costs totaling $10 million for restructuring actions initiated</w:t>
      </w:r>
      <w:r>
        <w:rPr>
          <w:rFonts w:ascii="Arial" w:cs="Arial" w:eastAsia="Arial" w:hAnsi="Arial"/>
          <w:sz w:val="16"/>
          <w:szCs w:val="16"/>
          <w:b w:val="1"/>
          <w:bCs w:val="1"/>
          <w:color w:val="auto"/>
        </w:rPr>
        <w:t xml:space="preserve"> </w:t>
      </w:r>
      <w:r>
        <w:rPr>
          <w:rFonts w:ascii="Arial" w:cs="Arial" w:eastAsia="Arial" w:hAnsi="Arial"/>
          <w:sz w:val="16"/>
          <w:szCs w:val="16"/>
          <w:color w:val="auto"/>
        </w:rPr>
        <w:t>in 2019, including $2 million in cost of sales and $8 million in selling, general and administrative expenses. The 2019 actions relate to ongoing cost reduction efforts, including workforce reductions, consolidation of field and manufacturing operations, and costs to exit legacy programs. The following table summarizes the accrual balances and utilization for the 2019 restructuring actions for the quarter ended March 31, 2020:</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Facility Exit,</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Severance</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and</w:t>
            </w:r>
          </w:p>
        </w:tc>
        <w:tc>
          <w:tcPr>
            <w:tcW w:w="340" w:type="dxa"/>
            <w:vAlign w:val="bottom"/>
          </w:tcPr>
          <w:p>
            <w:pPr>
              <w:spacing w:after="0"/>
              <w:rPr>
                <w:sz w:val="12"/>
                <w:szCs w:val="12"/>
                <w:color w:val="auto"/>
              </w:rPr>
            </w:pPr>
          </w:p>
        </w:tc>
        <w:tc>
          <w:tcPr>
            <w:tcW w:w="106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8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Other Costs</w:t>
            </w:r>
          </w:p>
        </w:tc>
        <w:tc>
          <w:tcPr>
            <w:tcW w:w="3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Quarter Ended March 31, 2020</w:t>
            </w: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20" w:type="dxa"/>
            <w:vAlign w:val="bottom"/>
          </w:tcPr>
          <w:p>
            <w:pPr>
              <w:ind w:left="20"/>
              <w:spacing w:after="0"/>
              <w:rPr>
                <w:sz w:val="20"/>
                <w:szCs w:val="20"/>
                <w:color w:val="auto"/>
              </w:rPr>
            </w:pPr>
            <w:r>
              <w:rPr>
                <w:rFonts w:ascii="Arial" w:cs="Arial" w:eastAsia="Arial" w:hAnsi="Arial"/>
                <w:sz w:val="18"/>
                <w:szCs w:val="18"/>
                <w:color w:val="auto"/>
              </w:rPr>
              <w:t>Restructuring accruals at December 31, 2019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8"/>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pre-tax restructuring costs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6820" w:type="dxa"/>
            <w:vAlign w:val="bottom"/>
          </w:tcPr>
          <w:p>
            <w:pPr>
              <w:ind w:left="20"/>
              <w:spacing w:after="0"/>
              <w:rPr>
                <w:sz w:val="20"/>
                <w:szCs w:val="20"/>
                <w:color w:val="auto"/>
              </w:rPr>
            </w:pPr>
            <w:r>
              <w:rPr>
                <w:rFonts w:ascii="Arial" w:cs="Arial" w:eastAsia="Arial" w:hAnsi="Arial"/>
                <w:sz w:val="18"/>
                <w:szCs w:val="18"/>
                <w:color w:val="auto"/>
              </w:rPr>
              <w:t>Utilization, foreign exchange and other costs</w:t>
            </w:r>
          </w:p>
        </w:tc>
        <w:tc>
          <w:tcPr>
            <w:tcW w:w="2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18"/>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6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2020</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expected, incurred and remaining costs for the 2019 restructuring actions by segment:</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Expected</w:t>
            </w:r>
          </w:p>
        </w:tc>
        <w:tc>
          <w:tcPr>
            <w:tcW w:w="120" w:type="dxa"/>
            <w:vAlign w:val="bottom"/>
          </w:tcPr>
          <w:p>
            <w:pPr>
              <w:spacing w:after="0"/>
              <w:rPr>
                <w:sz w:val="14"/>
                <w:szCs w:val="14"/>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Costs Incurred in</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Costs Incurred</w:t>
            </w:r>
          </w:p>
        </w:tc>
        <w:tc>
          <w:tcPr>
            <w:tcW w:w="1380" w:type="dxa"/>
            <w:vAlign w:val="bottom"/>
            <w:gridSpan w:val="2"/>
            <w:vMerge w:val="restart"/>
          </w:tcPr>
          <w:p>
            <w:pPr>
              <w:jc w:val="right"/>
              <w:ind w:right="13"/>
              <w:spacing w:after="0"/>
              <w:rPr>
                <w:sz w:val="20"/>
                <w:szCs w:val="20"/>
                <w:color w:val="auto"/>
              </w:rPr>
            </w:pPr>
            <w:r>
              <w:rPr>
                <w:rFonts w:ascii="Arial" w:cs="Arial" w:eastAsia="Arial" w:hAnsi="Arial"/>
                <w:sz w:val="14"/>
                <w:szCs w:val="14"/>
                <w:b w:val="1"/>
                <w:bCs w:val="1"/>
                <w:color w:val="auto"/>
                <w:w w:val="96"/>
              </w:rPr>
              <w:t>Remaining Costs at</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4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Costs</w:t>
            </w:r>
          </w:p>
        </w:tc>
        <w:tc>
          <w:tcPr>
            <w:tcW w:w="120" w:type="dxa"/>
            <w:vAlign w:val="bottom"/>
          </w:tcPr>
          <w:p>
            <w:pPr>
              <w:spacing w:after="0"/>
              <w:rPr>
                <w:sz w:val="16"/>
                <w:szCs w:val="16"/>
                <w:color w:val="auto"/>
              </w:rPr>
            </w:pPr>
          </w:p>
        </w:tc>
        <w:tc>
          <w:tcPr>
            <w:tcW w:w="1240" w:type="dxa"/>
            <w:vAlign w:val="bottom"/>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March 31, 2020</w:t>
            </w:r>
          </w:p>
        </w:tc>
        <w:tc>
          <w:tcPr>
            <w:tcW w:w="160" w:type="dxa"/>
            <w:vAlign w:val="bottom"/>
          </w:tcPr>
          <w:p>
            <w:pPr>
              <w:spacing w:after="0"/>
              <w:rPr>
                <w:sz w:val="16"/>
                <w:szCs w:val="16"/>
                <w:color w:val="auto"/>
              </w:rPr>
            </w:pPr>
          </w:p>
        </w:tc>
        <w:tc>
          <w:tcPr>
            <w:tcW w:w="1220" w:type="dxa"/>
            <w:vAlign w:val="bottom"/>
          </w:tcPr>
          <w:p>
            <w:pPr>
              <w:jc w:val="right"/>
              <w:ind w:right="133"/>
              <w:spacing w:after="0"/>
              <w:rPr>
                <w:sz w:val="20"/>
                <w:szCs w:val="20"/>
                <w:color w:val="auto"/>
              </w:rPr>
            </w:pPr>
            <w:r>
              <w:rPr>
                <w:rFonts w:ascii="Arial" w:cs="Arial" w:eastAsia="Arial" w:hAnsi="Arial"/>
                <w:sz w:val="14"/>
                <w:szCs w:val="14"/>
                <w:b w:val="1"/>
                <w:bCs w:val="1"/>
                <w:color w:val="auto"/>
                <w:w w:val="98"/>
              </w:rPr>
              <w:t>March 31, 2020</w:t>
            </w:r>
          </w:p>
        </w:tc>
        <w:tc>
          <w:tcPr>
            <w:tcW w:w="0" w:type="dxa"/>
            <w:vAlign w:val="bottom"/>
          </w:tcPr>
          <w:p>
            <w:pPr>
              <w:spacing w:after="0"/>
              <w:rPr>
                <w:sz w:val="1"/>
                <w:szCs w:val="1"/>
                <w:color w:val="auto"/>
              </w:rPr>
            </w:pPr>
          </w:p>
        </w:tc>
      </w:tr>
      <w:tr>
        <w:trPr>
          <w:trHeight w:val="250"/>
        </w:trPr>
        <w:tc>
          <w:tcPr>
            <w:tcW w:w="5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Otis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Carrier</w:t>
            </w:r>
          </w:p>
        </w:tc>
        <w:tc>
          <w:tcPr>
            <w:tcW w:w="260" w:type="dxa"/>
            <w:vAlign w:val="bottom"/>
          </w:tcPr>
          <w:p>
            <w:pPr>
              <w:spacing w:after="0"/>
              <w:rPr>
                <w:sz w:val="21"/>
                <w:szCs w:val="21"/>
                <w:color w:val="auto"/>
              </w:rPr>
            </w:pP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Pratt &amp; Whitney</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Collins Aerospace Systems</w:t>
            </w:r>
          </w:p>
        </w:tc>
        <w:tc>
          <w:tcPr>
            <w:tcW w:w="260" w:type="dxa"/>
            <w:vAlign w:val="bottom"/>
          </w:tcPr>
          <w:p>
            <w:pPr>
              <w:spacing w:after="0"/>
              <w:rPr>
                <w:sz w:val="21"/>
                <w:szCs w:val="21"/>
                <w:color w:val="auto"/>
              </w:rPr>
            </w:pP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Eliminations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40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60"/>
        <w:spacing w:after="0" w:line="347" w:lineRule="auto"/>
        <w:rPr>
          <w:sz w:val="20"/>
          <w:szCs w:val="20"/>
          <w:color w:val="auto"/>
        </w:rPr>
      </w:pPr>
      <w:r>
        <w:rPr>
          <w:rFonts w:ascii="Arial" w:cs="Arial" w:eastAsia="Arial" w:hAnsi="Arial"/>
          <w:sz w:val="16"/>
          <w:szCs w:val="16"/>
          <w:b w:val="1"/>
          <w:bCs w:val="1"/>
          <w:color w:val="auto"/>
        </w:rPr>
        <w:t xml:space="preserve">2018 and Prior Actions. </w:t>
      </w:r>
      <w:r>
        <w:rPr>
          <w:rFonts w:ascii="Arial" w:cs="Arial" w:eastAsia="Arial" w:hAnsi="Arial"/>
          <w:sz w:val="16"/>
          <w:szCs w:val="16"/>
          <w:color w:val="auto"/>
        </w:rPr>
        <w:t>During the quarter ended March 31, 2020, we recorded net pre-tax restructuring costs totaling $1 million for restructuring actions</w:t>
      </w:r>
      <w:r>
        <w:rPr>
          <w:rFonts w:ascii="Arial" w:cs="Arial" w:eastAsia="Arial" w:hAnsi="Arial"/>
          <w:sz w:val="16"/>
          <w:szCs w:val="16"/>
          <w:b w:val="1"/>
          <w:bCs w:val="1"/>
          <w:color w:val="auto"/>
        </w:rPr>
        <w:t xml:space="preserve"> </w:t>
      </w:r>
      <w:r>
        <w:rPr>
          <w:rFonts w:ascii="Arial" w:cs="Arial" w:eastAsia="Arial" w:hAnsi="Arial"/>
          <w:sz w:val="16"/>
          <w:szCs w:val="16"/>
          <w:color w:val="auto"/>
        </w:rPr>
        <w:t>initiated in 2018 and prior. As of March 31, 2020, we have approximately $58 million of accrual balances remaining related to 2018 and prior actions.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Financial Instruments</w:t>
      </w:r>
    </w:p>
    <w:p>
      <w:pPr>
        <w:spacing w:after="0" w:line="121" w:lineRule="exact"/>
        <w:rPr>
          <w:sz w:val="20"/>
          <w:szCs w:val="20"/>
          <w:color w:val="auto"/>
        </w:rPr>
      </w:pPr>
    </w:p>
    <w:p>
      <w:pPr>
        <w:ind w:right="80" w:firstLine="445"/>
        <w:spacing w:after="0" w:line="257" w:lineRule="auto"/>
        <w:rPr>
          <w:sz w:val="20"/>
          <w:szCs w:val="20"/>
          <w:color w:val="auto"/>
        </w:rPr>
      </w:pPr>
      <w:r>
        <w:rPr>
          <w:rFonts w:ascii="Arial" w:cs="Arial" w:eastAsia="Arial" w:hAnsi="Arial"/>
          <w:sz w:val="18"/>
          <w:szCs w:val="18"/>
          <w:color w:val="auto"/>
        </w:rPr>
        <w:t>We enter into derivative instruments primarily for risk management purposes, including derivatives designated as hedging instruments under the Derivatives and Hedging Topic of the FASB ASC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w:t>
      </w:r>
    </w:p>
    <w:p>
      <w:pPr>
        <w:spacing w:after="0" w:line="80" w:lineRule="exact"/>
        <w:rPr>
          <w:sz w:val="20"/>
          <w:szCs w:val="20"/>
          <w:color w:val="auto"/>
        </w:rPr>
      </w:pPr>
    </w:p>
    <w:p>
      <w:pPr>
        <w:ind w:right="260" w:firstLine="445"/>
        <w:spacing w:after="0" w:line="277" w:lineRule="auto"/>
        <w:rPr>
          <w:sz w:val="20"/>
          <w:szCs w:val="20"/>
          <w:color w:val="auto"/>
        </w:rPr>
      </w:pPr>
      <w:r>
        <w:rPr>
          <w:rFonts w:ascii="Arial" w:cs="Arial" w:eastAsia="Arial" w:hAnsi="Arial"/>
          <w:sz w:val="18"/>
          <w:szCs w:val="18"/>
          <w:color w:val="auto"/>
        </w:rPr>
        <w:t>The four quarter rolling average of the notional amount of foreign exchange contracts hedging foreign currency transactions was $18.2 billion and $17.8 billion at March 31, 2020 and December 31, 2019, respectively.</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fair value and presentation in the Condensed Consolidated Balance Sheets for derivative instruments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2020 and December 31, 2019:</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800" w:type="dxa"/>
            <w:vAlign w:val="bottom"/>
          </w:tcPr>
          <w:p>
            <w:pPr>
              <w:ind w:left="680"/>
              <w:spacing w:after="0"/>
              <w:rPr>
                <w:sz w:val="20"/>
                <w:szCs w:val="20"/>
                <w:color w:val="auto"/>
              </w:rPr>
            </w:pPr>
            <w:r>
              <w:rPr>
                <w:rFonts w:ascii="Arial" w:cs="Arial" w:eastAsia="Arial" w:hAnsi="Arial"/>
                <w:sz w:val="14"/>
                <w:szCs w:val="14"/>
                <w:b w:val="1"/>
                <w:bCs w:val="1"/>
                <w:color w:val="auto"/>
              </w:rPr>
              <w:t>Balance Sheet Location</w:t>
            </w:r>
          </w:p>
        </w:tc>
        <w:tc>
          <w:tcPr>
            <w:tcW w:w="24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Pr>
          <w:p>
            <w:pPr>
              <w:spacing w:after="0"/>
              <w:rPr>
                <w:sz w:val="16"/>
                <w:szCs w:val="16"/>
                <w:color w:val="auto"/>
              </w:rPr>
            </w:pPr>
          </w:p>
        </w:tc>
        <w:tc>
          <w:tcPr>
            <w:tcW w:w="1520" w:type="dxa"/>
            <w:vAlign w:val="bottom"/>
          </w:tcPr>
          <w:p>
            <w:pPr>
              <w:jc w:val="right"/>
              <w:ind w:right="171"/>
              <w:spacing w:after="0"/>
              <w:rPr>
                <w:sz w:val="20"/>
                <w:szCs w:val="20"/>
                <w:color w:val="auto"/>
              </w:rPr>
            </w:pPr>
            <w:r>
              <w:rPr>
                <w:rFonts w:ascii="Arial" w:cs="Arial" w:eastAsia="Arial" w:hAnsi="Arial"/>
                <w:sz w:val="14"/>
                <w:szCs w:val="14"/>
                <w:b w:val="1"/>
                <w:bCs w:val="1"/>
                <w:color w:val="auto"/>
                <w:w w:val="98"/>
              </w:rPr>
              <w:t>December 31, 2019</w:t>
            </w: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b w:val="1"/>
                <w:bCs w:val="1"/>
                <w:color w:val="auto"/>
              </w:rPr>
              <w:t>Derivatives designated as hedging instruments:</w:t>
            </w:r>
          </w:p>
        </w:tc>
        <w:tc>
          <w:tcPr>
            <w:tcW w:w="28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r>
      <w:tr>
        <w:trPr>
          <w:trHeight w:val="27"/>
        </w:trPr>
        <w:tc>
          <w:tcPr>
            <w:tcW w:w="49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 contracts</w:t>
            </w:r>
          </w:p>
        </w:tc>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 Derivatives: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tcPr>
          <w:p>
            <w:pPr>
              <w:spacing w:after="0"/>
              <w:rPr>
                <w:sz w:val="21"/>
                <w:szCs w:val="21"/>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Other assets, current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71"/>
              <w:spacing w:after="0"/>
              <w:rPr>
                <w:sz w:val="20"/>
                <w:szCs w:val="20"/>
                <w:color w:val="auto"/>
              </w:rPr>
            </w:pPr>
            <w:r>
              <w:rPr>
                <w:rFonts w:ascii="Arial" w:cs="Arial" w:eastAsia="Arial" w:hAnsi="Arial"/>
                <w:sz w:val="18"/>
                <w:szCs w:val="18"/>
                <w:color w:val="auto"/>
              </w:rPr>
              <w:t>11</w:t>
            </w:r>
          </w:p>
        </w:tc>
      </w:tr>
      <w:tr>
        <w:trPr>
          <w:trHeight w:val="27"/>
        </w:trPr>
        <w:tc>
          <w:tcPr>
            <w:tcW w:w="49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4940" w:type="dxa"/>
            <w:vAlign w:val="bottom"/>
            <w:tcBorders>
              <w:bottom w:val="single" w:sz="8" w:color="CCEEFF"/>
            </w:tcBorders>
            <w:shd w:val="clear" w:color="auto" w:fill="CCEEFF"/>
          </w:tcPr>
          <w:p>
            <w:pPr>
              <w:spacing w:after="0"/>
              <w:rPr>
                <w:sz w:val="23"/>
                <w:szCs w:val="23"/>
                <w:color w:val="auto"/>
              </w:rPr>
            </w:pPr>
          </w:p>
        </w:tc>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w:t>
            </w:r>
          </w:p>
        </w:tc>
      </w:tr>
      <w:tr>
        <w:trPr>
          <w:trHeight w:val="237"/>
        </w:trPr>
        <w:tc>
          <w:tcPr>
            <w:tcW w:w="4940" w:type="dxa"/>
            <w:vAlign w:val="bottom"/>
          </w:tcPr>
          <w:p>
            <w:pPr>
              <w:spacing w:after="0"/>
              <w:rPr>
                <w:sz w:val="20"/>
                <w:szCs w:val="20"/>
                <w:color w:val="auto"/>
              </w:rPr>
            </w:pPr>
          </w:p>
        </w:tc>
        <w:tc>
          <w:tcPr>
            <w:tcW w:w="2800" w:type="dxa"/>
            <w:vAlign w:val="bottom"/>
          </w:tcPr>
          <w:p>
            <w:pPr>
              <w:ind w:left="120"/>
              <w:spacing w:after="0"/>
              <w:rPr>
                <w:sz w:val="20"/>
                <w:szCs w:val="20"/>
                <w:color w:val="auto"/>
              </w:rPr>
            </w:pPr>
            <w:r>
              <w:rPr>
                <w:rFonts w:ascii="Arial" w:cs="Arial" w:eastAsia="Arial" w:hAnsi="Arial"/>
                <w:sz w:val="18"/>
                <w:szCs w:val="18"/>
                <w:color w:val="auto"/>
              </w:rPr>
              <w:t>Total asset derivatives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24</w:t>
            </w:r>
          </w:p>
        </w:tc>
      </w:tr>
      <w:tr>
        <w:trPr>
          <w:trHeight w:val="27"/>
        </w:trPr>
        <w:tc>
          <w:tcPr>
            <w:tcW w:w="49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Liability Derivatives: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tcPr>
          <w:p>
            <w:pPr>
              <w:spacing w:after="0"/>
              <w:rPr>
                <w:sz w:val="21"/>
                <w:szCs w:val="21"/>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(72)</w:t>
            </w:r>
          </w:p>
        </w:tc>
      </w:tr>
      <w:tr>
        <w:trPr>
          <w:trHeight w:val="27"/>
        </w:trPr>
        <w:tc>
          <w:tcPr>
            <w:tcW w:w="49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4940" w:type="dxa"/>
            <w:vAlign w:val="bottom"/>
            <w:tcBorders>
              <w:bottom w:val="single" w:sz="8" w:color="CCEEFF"/>
            </w:tcBorders>
            <w:shd w:val="clear" w:color="auto" w:fill="CCEEFF"/>
          </w:tcPr>
          <w:p>
            <w:pPr>
              <w:spacing w:after="0"/>
              <w:rPr>
                <w:sz w:val="23"/>
                <w:szCs w:val="23"/>
                <w:color w:val="auto"/>
              </w:rPr>
            </w:pPr>
          </w:p>
        </w:tc>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w:t>
            </w:r>
          </w:p>
        </w:tc>
      </w:tr>
      <w:tr>
        <w:trPr>
          <w:trHeight w:val="237"/>
        </w:trPr>
        <w:tc>
          <w:tcPr>
            <w:tcW w:w="4940" w:type="dxa"/>
            <w:vAlign w:val="bottom"/>
          </w:tcPr>
          <w:p>
            <w:pPr>
              <w:spacing w:after="0"/>
              <w:rPr>
                <w:sz w:val="20"/>
                <w:szCs w:val="20"/>
                <w:color w:val="auto"/>
              </w:rPr>
            </w:pPr>
          </w:p>
        </w:tc>
        <w:tc>
          <w:tcPr>
            <w:tcW w:w="2800" w:type="dxa"/>
            <w:vAlign w:val="bottom"/>
          </w:tcPr>
          <w:p>
            <w:pPr>
              <w:ind w:left="120"/>
              <w:spacing w:after="0"/>
              <w:rPr>
                <w:sz w:val="20"/>
                <w:szCs w:val="20"/>
                <w:color w:val="auto"/>
              </w:rPr>
            </w:pPr>
            <w:r>
              <w:rPr>
                <w:rFonts w:ascii="Arial" w:cs="Arial" w:eastAsia="Arial" w:hAnsi="Arial"/>
                <w:sz w:val="18"/>
                <w:szCs w:val="18"/>
                <w:color w:val="auto"/>
              </w:rPr>
              <w:t>Total liability derivatives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(170)</w:t>
            </w:r>
          </w:p>
        </w:tc>
      </w:tr>
      <w:tr>
        <w:trPr>
          <w:trHeight w:val="27"/>
        </w:trPr>
        <w:tc>
          <w:tcPr>
            <w:tcW w:w="49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2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Foreign exchange contracts</w:t>
            </w:r>
          </w:p>
        </w:tc>
        <w:tc>
          <w:tcPr>
            <w:tcW w:w="2800" w:type="dxa"/>
            <w:vAlign w:val="bottom"/>
          </w:tcPr>
          <w:p>
            <w:pPr>
              <w:ind w:left="20"/>
              <w:spacing w:after="0"/>
              <w:rPr>
                <w:sz w:val="20"/>
                <w:szCs w:val="20"/>
                <w:color w:val="auto"/>
              </w:rPr>
            </w:pPr>
            <w:r>
              <w:rPr>
                <w:rFonts w:ascii="Arial" w:cs="Arial" w:eastAsia="Arial" w:hAnsi="Arial"/>
                <w:sz w:val="18"/>
                <w:szCs w:val="18"/>
                <w:color w:val="auto"/>
              </w:rPr>
              <w:t>Asset Derivatives:</w:t>
            </w: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 current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w:t>
            </w:r>
          </w:p>
        </w:tc>
      </w:tr>
      <w:tr>
        <w:trPr>
          <w:trHeight w:val="243"/>
        </w:trPr>
        <w:tc>
          <w:tcPr>
            <w:tcW w:w="4940" w:type="dxa"/>
            <w:vAlign w:val="bottom"/>
          </w:tcPr>
          <w:p>
            <w:pPr>
              <w:spacing w:after="0"/>
              <w:rPr>
                <w:sz w:val="21"/>
                <w:szCs w:val="21"/>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71"/>
              <w:spacing w:after="0"/>
              <w:rPr>
                <w:sz w:val="20"/>
                <w:szCs w:val="20"/>
                <w:color w:val="auto"/>
              </w:rPr>
            </w:pPr>
            <w:r>
              <w:rPr>
                <w:rFonts w:ascii="Arial" w:cs="Arial" w:eastAsia="Arial" w:hAnsi="Arial"/>
                <w:sz w:val="18"/>
                <w:szCs w:val="18"/>
                <w:color w:val="auto"/>
              </w:rPr>
              <w:t>5</w:t>
            </w:r>
          </w:p>
        </w:tc>
      </w:tr>
      <w:tr>
        <w:trPr>
          <w:trHeight w:val="27"/>
        </w:trPr>
        <w:tc>
          <w:tcPr>
            <w:tcW w:w="494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3"/>
        </w:trPr>
        <w:tc>
          <w:tcPr>
            <w:tcW w:w="494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asset derivatives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w:t>
            </w:r>
          </w:p>
        </w:tc>
      </w:tr>
      <w:tr>
        <w:trPr>
          <w:trHeight w:val="243"/>
        </w:trPr>
        <w:tc>
          <w:tcPr>
            <w:tcW w:w="4940" w:type="dxa"/>
            <w:vAlign w:val="bottom"/>
          </w:tcPr>
          <w:p>
            <w:pPr>
              <w:spacing w:after="0"/>
              <w:rPr>
                <w:sz w:val="21"/>
                <w:szCs w:val="21"/>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Liability Derivatives:</w:t>
            </w: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w:t>
            </w:r>
          </w:p>
        </w:tc>
      </w:tr>
      <w:tr>
        <w:trPr>
          <w:trHeight w:val="243"/>
        </w:trPr>
        <w:tc>
          <w:tcPr>
            <w:tcW w:w="4940" w:type="dxa"/>
            <w:vAlign w:val="bottom"/>
          </w:tcPr>
          <w:p>
            <w:pPr>
              <w:spacing w:after="0"/>
              <w:rPr>
                <w:sz w:val="21"/>
                <w:szCs w:val="21"/>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w:t>
            </w:r>
          </w:p>
        </w:tc>
      </w:tr>
      <w:tr>
        <w:trPr>
          <w:trHeight w:val="27"/>
        </w:trPr>
        <w:tc>
          <w:tcPr>
            <w:tcW w:w="494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4940" w:type="dxa"/>
            <w:vAlign w:val="bottom"/>
            <w:shd w:val="clear" w:color="auto" w:fill="CCEEFF"/>
          </w:tcPr>
          <w:p>
            <w:pPr>
              <w:spacing w:after="0"/>
              <w:rPr>
                <w:sz w:val="20"/>
                <w:szCs w:val="20"/>
                <w:color w:val="auto"/>
              </w:rPr>
            </w:pPr>
          </w:p>
        </w:tc>
        <w:tc>
          <w:tcPr>
            <w:tcW w:w="2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liability derivatives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(117)</w:t>
            </w:r>
          </w:p>
        </w:tc>
      </w:tr>
      <w:tr>
        <w:trPr>
          <w:trHeight w:val="27"/>
        </w:trPr>
        <w:tc>
          <w:tcPr>
            <w:tcW w:w="494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460" w:firstLine="445"/>
        <w:spacing w:after="0" w:line="301" w:lineRule="auto"/>
        <w:rPr>
          <w:sz w:val="20"/>
          <w:szCs w:val="20"/>
          <w:color w:val="auto"/>
        </w:rPr>
      </w:pPr>
      <w:r>
        <w:rPr>
          <w:rFonts w:ascii="Arial" w:cs="Arial" w:eastAsia="Arial" w:hAnsi="Arial"/>
          <w:sz w:val="16"/>
          <w:szCs w:val="16"/>
          <w:color w:val="auto"/>
        </w:rPr>
        <w:t>The effect of cash flow hedging relationships on Accumulated other comprehensive income and on the Condensed Consolidated Statement of Operations for the quarters ended March 31, 2020 and 2019 are presented in the table below. The amounts of loss are attributable to foreign exchange contract activity and are recorded as a component of Product sales when reclassified from Accumulated other comprehensive income.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4"/>
                <w:szCs w:val="14"/>
                <w:b w:val="1"/>
                <w:bCs w:val="1"/>
                <w:color w:val="auto"/>
              </w:rPr>
              <w:t>Quarter Ended March 31,</w:t>
            </w:r>
          </w:p>
        </w:tc>
      </w:tr>
      <w:tr>
        <w:trPr>
          <w:trHeight w:val="196"/>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2019</w:t>
            </w: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gain recorded in Accumulated other comprehensive loss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(404)</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7</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Loss reclassified from Accumulated other comprehensive loss into Product sales</w:t>
            </w:r>
          </w:p>
        </w:tc>
        <w:tc>
          <w:tcPr>
            <w:tcW w:w="360" w:type="dxa"/>
            <w:vAlign w:val="bottom"/>
          </w:tcPr>
          <w:p>
            <w:pPr>
              <w:spacing w:after="0"/>
              <w:rPr>
                <w:sz w:val="21"/>
                <w:szCs w:val="21"/>
                <w:color w:val="auto"/>
              </w:rPr>
            </w:pPr>
          </w:p>
        </w:tc>
        <w:tc>
          <w:tcPr>
            <w:tcW w:w="1180" w:type="dxa"/>
            <w:vAlign w:val="bottom"/>
          </w:tcPr>
          <w:p>
            <w:pPr>
              <w:jc w:val="right"/>
              <w:ind w:right="79"/>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76"/>
              <w:spacing w:after="0"/>
              <w:rPr>
                <w:sz w:val="20"/>
                <w:szCs w:val="20"/>
                <w:color w:val="auto"/>
              </w:rPr>
            </w:pPr>
            <w:r>
              <w:rPr>
                <w:rFonts w:ascii="Arial" w:cs="Arial" w:eastAsia="Arial" w:hAnsi="Arial"/>
                <w:sz w:val="18"/>
                <w:szCs w:val="18"/>
                <w:color w:val="auto"/>
              </w:rPr>
              <w:t>4</w:t>
            </w:r>
          </w:p>
        </w:tc>
      </w:tr>
    </w:tbl>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Company utilizes the critical terms match method in assessing derivatives for hedge effectiveness. Accordingly, the hedged items and derivatives designated as hedging instruments are highly effective.</w:t>
      </w:r>
    </w:p>
    <w:p>
      <w:pPr>
        <w:spacing w:after="0" w:line="62" w:lineRule="exact"/>
        <w:rPr>
          <w:sz w:val="20"/>
          <w:szCs w:val="20"/>
          <w:color w:val="auto"/>
        </w:rPr>
      </w:pPr>
    </w:p>
    <w:p>
      <w:pPr>
        <w:jc w:val="both"/>
        <w:ind w:right="20" w:firstLine="445"/>
        <w:spacing w:after="0" w:line="320" w:lineRule="auto"/>
        <w:rPr>
          <w:sz w:val="20"/>
          <w:szCs w:val="20"/>
          <w:color w:val="auto"/>
        </w:rPr>
      </w:pPr>
      <w:r>
        <w:rPr>
          <w:rFonts w:ascii="Arial" w:cs="Arial" w:eastAsia="Arial" w:hAnsi="Arial"/>
          <w:sz w:val="16"/>
          <w:szCs w:val="16"/>
          <w:color w:val="auto"/>
        </w:rPr>
        <w:t>As of March 31, 2020, we have €1.25 billion of euro-denominated long-term debt outstanding, €750 million variable rate debt due May 2020, which has been de-designated and resides in Long-term debt currently due. As of March 31, 2020, €500 million of euro-denominated long-term debt qualifies as a net investment hedge against our investments in European businesses. As of March 31, 2020, the net investment hedge is deemed to be effective.</w:t>
      </w:r>
    </w:p>
    <w:p>
      <w:pPr>
        <w:spacing w:after="0" w:line="20" w:lineRule="exact"/>
        <w:rPr>
          <w:sz w:val="20"/>
          <w:szCs w:val="20"/>
          <w:color w:val="auto"/>
        </w:rPr>
      </w:pPr>
    </w:p>
    <w:p>
      <w:pPr>
        <w:jc w:val="both"/>
        <w:ind w:right="20" w:firstLine="445"/>
        <w:spacing w:after="0" w:line="235" w:lineRule="auto"/>
        <w:rPr>
          <w:sz w:val="20"/>
          <w:szCs w:val="20"/>
          <w:color w:val="auto"/>
        </w:rPr>
      </w:pPr>
      <w:r>
        <w:rPr>
          <w:rFonts w:ascii="Arial" w:cs="Arial" w:eastAsia="Arial" w:hAnsi="Arial"/>
          <w:sz w:val="18"/>
          <w:szCs w:val="18"/>
          <w:color w:val="auto"/>
        </w:rPr>
        <w:t>Assuming current market conditions continue, a $140 million pre-tax loss is expected to be reclassified from Accumulated other comprehensive loss into Product sales to reflect the fixed prices obtained from foreign exchange hedging within the next 12 months. At March 31, 2020, all derivative contracts accounted for as cash flow hedges will mature by April 2024.</w:t>
      </w:r>
    </w:p>
    <w:p>
      <w:pPr>
        <w:spacing w:after="0" w:line="80" w:lineRule="exact"/>
        <w:rPr>
          <w:sz w:val="20"/>
          <w:szCs w:val="20"/>
          <w:color w:val="auto"/>
        </w:rPr>
      </w:pPr>
    </w:p>
    <w:p>
      <w:pPr>
        <w:ind w:right="220" w:firstLine="445"/>
        <w:spacing w:after="0" w:line="276" w:lineRule="auto"/>
        <w:rPr>
          <w:sz w:val="20"/>
          <w:szCs w:val="20"/>
          <w:color w:val="auto"/>
        </w:rPr>
      </w:pPr>
      <w:r>
        <w:rPr>
          <w:rFonts w:ascii="Arial" w:cs="Arial" w:eastAsia="Arial" w:hAnsi="Arial"/>
          <w:sz w:val="18"/>
          <w:szCs w:val="18"/>
          <w:color w:val="auto"/>
        </w:rPr>
        <w:t>The effect of derivatives not designated as hedging instruments within Other income, net, on the Condensed Consolidated Statement of Operations was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4"/>
                <w:szCs w:val="14"/>
                <w:b w:val="1"/>
                <w:bCs w:val="1"/>
                <w:color w:val="auto"/>
              </w:rPr>
              <w:t>Quarter Ended March 31,</w:t>
            </w:r>
          </w:p>
        </w:tc>
      </w:tr>
      <w:tr>
        <w:trPr>
          <w:trHeight w:val="196"/>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2019</w:t>
            </w:r>
          </w:p>
        </w:tc>
      </w:tr>
      <w:tr>
        <w:trPr>
          <w:trHeight w:val="24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contracts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18</w:t>
            </w:r>
          </w:p>
        </w:tc>
      </w:tr>
      <w:tr>
        <w:trPr>
          <w:trHeight w:val="27"/>
        </w:trPr>
        <w:tc>
          <w:tcPr>
            <w:tcW w:w="79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Measurements</w:t>
      </w:r>
    </w:p>
    <w:p>
      <w:pPr>
        <w:spacing w:after="0" w:line="121" w:lineRule="exact"/>
        <w:rPr>
          <w:sz w:val="20"/>
          <w:szCs w:val="20"/>
          <w:color w:val="auto"/>
        </w:rPr>
      </w:pPr>
    </w:p>
    <w:p>
      <w:pPr>
        <w:ind w:right="240" w:firstLine="567"/>
        <w:spacing w:after="0" w:line="263" w:lineRule="auto"/>
        <w:rPr>
          <w:sz w:val="20"/>
          <w:szCs w:val="20"/>
          <w:color w:val="auto"/>
        </w:rPr>
      </w:pPr>
      <w:r>
        <w:rPr>
          <w:rFonts w:ascii="Arial" w:cs="Arial" w:eastAsia="Arial" w:hAnsi="Arial"/>
          <w:sz w:val="18"/>
          <w:szCs w:val="18"/>
          <w:color w:val="auto"/>
        </w:rPr>
        <w:t>In accordance with the provisions of ASC 820, the following tables provide the valuation hierarchy classification of assets and liabilities that are carried at fair value and measured on a recurring and non-recurring basis in our Condensed Consolidated Balance Sheet as of March 31, 2020 and December 31, 2019:</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517"/>
              <w:spacing w:after="0"/>
              <w:rPr>
                <w:sz w:val="20"/>
                <w:szCs w:val="20"/>
                <w:color w:val="auto"/>
              </w:rPr>
            </w:pPr>
            <w:r>
              <w:rPr>
                <w:rFonts w:ascii="Arial" w:cs="Arial" w:eastAsia="Arial" w:hAnsi="Arial"/>
                <w:sz w:val="14"/>
                <w:szCs w:val="14"/>
                <w:b w:val="1"/>
                <w:bCs w:val="1"/>
                <w:color w:val="auto"/>
                <w:w w:val="94"/>
              </w:rPr>
              <w:t>March 31, 2020</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96"/>
        </w:trPr>
        <w:tc>
          <w:tcPr>
            <w:tcW w:w="56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00" w:type="dxa"/>
            <w:vAlign w:val="bottom"/>
          </w:tcPr>
          <w:p>
            <w:pPr>
              <w:spacing w:after="0"/>
              <w:rPr>
                <w:sz w:val="17"/>
                <w:szCs w:val="17"/>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7"/>
                <w:szCs w:val="17"/>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440" w:type="dxa"/>
            <w:vAlign w:val="bottom"/>
          </w:tcPr>
          <w:p>
            <w:pPr>
              <w:spacing w:after="0"/>
              <w:rPr>
                <w:sz w:val="17"/>
                <w:szCs w:val="17"/>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7"/>
                <w:szCs w:val="17"/>
                <w:color w:val="auto"/>
              </w:rPr>
            </w:pPr>
          </w:p>
        </w:tc>
        <w:tc>
          <w:tcPr>
            <w:tcW w:w="1040" w:type="dxa"/>
            <w:vAlign w:val="bottom"/>
          </w:tcPr>
          <w:p>
            <w:pPr>
              <w:ind w:left="160"/>
              <w:spacing w:after="0"/>
              <w:rPr>
                <w:sz w:val="20"/>
                <w:szCs w:val="20"/>
                <w:color w:val="auto"/>
              </w:rPr>
            </w:pPr>
            <w:r>
              <w:rPr>
                <w:rFonts w:ascii="Arial" w:cs="Arial" w:eastAsia="Arial" w:hAnsi="Arial"/>
                <w:sz w:val="14"/>
                <w:szCs w:val="14"/>
                <w:b w:val="1"/>
                <w:bCs w:val="1"/>
                <w:color w:val="auto"/>
              </w:rPr>
              <w:t>Level 3</w:t>
            </w:r>
          </w:p>
        </w:tc>
      </w:tr>
      <w:tr>
        <w:trPr>
          <w:trHeight w:val="236"/>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Recurring fair value measurements:</w:t>
            </w: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660" w:type="dxa"/>
            <w:vAlign w:val="bottom"/>
          </w:tcPr>
          <w:p>
            <w:pPr>
              <w:ind w:left="220"/>
              <w:spacing w:after="0"/>
              <w:rPr>
                <w:sz w:val="20"/>
                <w:szCs w:val="20"/>
                <w:color w:val="auto"/>
              </w:rPr>
            </w:pPr>
            <w:r>
              <w:rPr>
                <w:rFonts w:ascii="Arial" w:cs="Arial" w:eastAsia="Arial" w:hAnsi="Arial"/>
                <w:sz w:val="18"/>
                <w:szCs w:val="18"/>
                <w:color w:val="auto"/>
              </w:rPr>
              <w:t>Available-for-sale securities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7"/>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7"/>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Derivative assets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43"/>
        </w:trPr>
        <w:tc>
          <w:tcPr>
            <w:tcW w:w="5660" w:type="dxa"/>
            <w:vAlign w:val="bottom"/>
          </w:tcPr>
          <w:p>
            <w:pPr>
              <w:ind w:left="220"/>
              <w:spacing w:after="0"/>
              <w:rPr>
                <w:sz w:val="20"/>
                <w:szCs w:val="20"/>
                <w:color w:val="auto"/>
              </w:rPr>
            </w:pPr>
            <w:r>
              <w:rPr>
                <w:rFonts w:ascii="Arial" w:cs="Arial" w:eastAsia="Arial" w:hAnsi="Arial"/>
                <w:sz w:val="18"/>
                <w:szCs w:val="18"/>
                <w:color w:val="auto"/>
              </w:rPr>
              <w:t>Derivative liabilities</w:t>
            </w:r>
          </w:p>
        </w:tc>
        <w:tc>
          <w:tcPr>
            <w:tcW w:w="30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601"/>
        </w:trPr>
        <w:tc>
          <w:tcPr>
            <w:tcW w:w="56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91"/>
              </w:rPr>
              <w:t>December 31, 2019</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96"/>
        </w:trPr>
        <w:tc>
          <w:tcPr>
            <w:tcW w:w="56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00" w:type="dxa"/>
            <w:vAlign w:val="bottom"/>
          </w:tcPr>
          <w:p>
            <w:pPr>
              <w:spacing w:after="0"/>
              <w:rPr>
                <w:sz w:val="17"/>
                <w:szCs w:val="17"/>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7"/>
                <w:szCs w:val="17"/>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440" w:type="dxa"/>
            <w:vAlign w:val="bottom"/>
          </w:tcPr>
          <w:p>
            <w:pPr>
              <w:spacing w:after="0"/>
              <w:rPr>
                <w:sz w:val="17"/>
                <w:szCs w:val="17"/>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7"/>
                <w:szCs w:val="17"/>
                <w:color w:val="auto"/>
              </w:rPr>
            </w:pPr>
          </w:p>
        </w:tc>
        <w:tc>
          <w:tcPr>
            <w:tcW w:w="1040" w:type="dxa"/>
            <w:vAlign w:val="bottom"/>
          </w:tcPr>
          <w:p>
            <w:pPr>
              <w:ind w:left="160"/>
              <w:spacing w:after="0"/>
              <w:rPr>
                <w:sz w:val="20"/>
                <w:szCs w:val="20"/>
                <w:color w:val="auto"/>
              </w:rPr>
            </w:pPr>
            <w:r>
              <w:rPr>
                <w:rFonts w:ascii="Arial" w:cs="Arial" w:eastAsia="Arial" w:hAnsi="Arial"/>
                <w:sz w:val="14"/>
                <w:szCs w:val="14"/>
                <w:b w:val="1"/>
                <w:bCs w:val="1"/>
                <w:color w:val="auto"/>
              </w:rPr>
              <w:t>Level 3</w:t>
            </w:r>
          </w:p>
        </w:tc>
      </w:tr>
      <w:tr>
        <w:trPr>
          <w:trHeight w:val="236"/>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Recurring fair value measurements:</w:t>
            </w: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660" w:type="dxa"/>
            <w:vAlign w:val="bottom"/>
          </w:tcPr>
          <w:p>
            <w:pPr>
              <w:ind w:left="220"/>
              <w:spacing w:after="0"/>
              <w:rPr>
                <w:sz w:val="20"/>
                <w:szCs w:val="20"/>
                <w:color w:val="auto"/>
              </w:rPr>
            </w:pPr>
            <w:r>
              <w:rPr>
                <w:rFonts w:ascii="Arial" w:cs="Arial" w:eastAsia="Arial" w:hAnsi="Arial"/>
                <w:sz w:val="18"/>
                <w:szCs w:val="18"/>
                <w:color w:val="auto"/>
              </w:rPr>
              <w:t>Available-for-sale securities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7"/>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7"/>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Derivative assets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43"/>
        </w:trPr>
        <w:tc>
          <w:tcPr>
            <w:tcW w:w="5660" w:type="dxa"/>
            <w:vAlign w:val="bottom"/>
          </w:tcPr>
          <w:p>
            <w:pPr>
              <w:ind w:left="220"/>
              <w:spacing w:after="0"/>
              <w:rPr>
                <w:sz w:val="20"/>
                <w:szCs w:val="20"/>
                <w:color w:val="auto"/>
              </w:rPr>
            </w:pPr>
            <w:r>
              <w:rPr>
                <w:rFonts w:ascii="Arial" w:cs="Arial" w:eastAsia="Arial" w:hAnsi="Arial"/>
                <w:sz w:val="18"/>
                <w:szCs w:val="18"/>
                <w:color w:val="auto"/>
              </w:rPr>
              <w:t>Derivative liabilities</w:t>
            </w:r>
          </w:p>
        </w:tc>
        <w:tc>
          <w:tcPr>
            <w:tcW w:w="30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ind w:left="700"/>
              <w:spacing w:after="0"/>
              <w:rPr>
                <w:sz w:val="20"/>
                <w:szCs w:val="20"/>
                <w:color w:val="auto"/>
              </w:rPr>
            </w:pPr>
            <w:r>
              <w:rPr>
                <w:rFonts w:ascii="Arial" w:cs="Arial" w:eastAsia="Arial" w:hAnsi="Arial"/>
                <w:sz w:val="18"/>
                <w:szCs w:val="18"/>
                <w:color w:val="auto"/>
              </w:rPr>
              <w:t>—</w:t>
            </w:r>
          </w:p>
        </w:tc>
      </w:tr>
    </w:tbl>
    <w:p>
      <w:pPr>
        <w:spacing w:after="0" w:line="11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 xml:space="preserve">Valuation Techniques. </w:t>
      </w:r>
      <w:r>
        <w:rPr>
          <w:rFonts w:ascii="Arial" w:cs="Arial" w:eastAsia="Arial" w:hAnsi="Arial"/>
          <w:sz w:val="18"/>
          <w:szCs w:val="18"/>
          <w:color w:val="auto"/>
        </w:rPr>
        <w:t>Our available-for-sale securities include equity investments that are traded in active markets, either domestically or internationally,</w:t>
      </w:r>
      <w:r>
        <w:rPr>
          <w:rFonts w:ascii="Arial" w:cs="Arial" w:eastAsia="Arial" w:hAnsi="Arial"/>
          <w:sz w:val="18"/>
          <w:szCs w:val="18"/>
          <w:b w:val="1"/>
          <w:bCs w:val="1"/>
          <w:color w:val="auto"/>
        </w:rPr>
        <w:t xml:space="preserve"> </w:t>
      </w:r>
      <w:r>
        <w:rPr>
          <w:rFonts w:ascii="Arial" w:cs="Arial" w:eastAsia="Arial" w:hAnsi="Arial"/>
          <w:sz w:val="18"/>
          <w:szCs w:val="18"/>
          <w:color w:val="auto"/>
        </w:rPr>
        <w:t>and are measured at fair value using closing stock prices from active markets. Our derivative assets and liabilities include foreign exchange contracts that are measured at fair value using internal models based on observable market inputs such as forward rates, interest rates, our own credit risk and our counterparties' credit risks.</w:t>
      </w:r>
    </w:p>
    <w:p>
      <w:pPr>
        <w:spacing w:after="0" w:line="76" w:lineRule="exact"/>
        <w:rPr>
          <w:sz w:val="20"/>
          <w:szCs w:val="20"/>
          <w:color w:val="auto"/>
        </w:rPr>
      </w:pPr>
    </w:p>
    <w:p>
      <w:pPr>
        <w:ind w:right="200" w:firstLine="567"/>
        <w:spacing w:after="0" w:line="308" w:lineRule="auto"/>
        <w:rPr>
          <w:sz w:val="20"/>
          <w:szCs w:val="20"/>
          <w:color w:val="auto"/>
        </w:rPr>
      </w:pPr>
      <w:r>
        <w:rPr>
          <w:rFonts w:ascii="Arial" w:cs="Arial" w:eastAsia="Arial" w:hAnsi="Arial"/>
          <w:sz w:val="17"/>
          <w:szCs w:val="17"/>
          <w:color w:val="auto"/>
        </w:rPr>
        <w:t>As of March 31, 2020, there has not been any significant impact to the fair value of our derivative liabilities due to our own credit risk. Similarly, there has not been any significant adverse impact to our derivative assets based on our evaluation of our counterparties' credit risks.</w:t>
      </w:r>
    </w:p>
    <w:p>
      <w:pPr>
        <w:spacing w:after="0" w:line="38" w:lineRule="exact"/>
        <w:rPr>
          <w:sz w:val="20"/>
          <w:szCs w:val="20"/>
          <w:color w:val="auto"/>
        </w:rPr>
      </w:pPr>
    </w:p>
    <w:p>
      <w:pPr>
        <w:ind w:right="780" w:firstLine="567"/>
        <w:spacing w:after="0" w:line="276" w:lineRule="auto"/>
        <w:rPr>
          <w:sz w:val="20"/>
          <w:szCs w:val="20"/>
          <w:color w:val="auto"/>
        </w:rPr>
      </w:pPr>
      <w:r>
        <w:rPr>
          <w:rFonts w:ascii="Arial" w:cs="Arial" w:eastAsia="Arial" w:hAnsi="Arial"/>
          <w:sz w:val="18"/>
          <w:szCs w:val="18"/>
          <w:color w:val="auto"/>
        </w:rPr>
        <w:t>The following table provides carrying amounts and fair values of financial instruments that are not carried at fair value in our Condensed Consolidated Balance Sheet at March 31, 2020 and December 31, 2019:</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w w:val="96"/>
              </w:rPr>
              <w:t>March 31, 2020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695"/>
              <w:spacing w:after="0"/>
              <w:rPr>
                <w:sz w:val="20"/>
                <w:szCs w:val="20"/>
                <w:color w:val="auto"/>
              </w:rPr>
            </w:pPr>
            <w:r>
              <w:rPr>
                <w:rFonts w:ascii="Arial" w:cs="Arial" w:eastAsia="Arial" w:hAnsi="Arial"/>
                <w:sz w:val="14"/>
                <w:szCs w:val="14"/>
                <w:b w:val="1"/>
                <w:bCs w:val="1"/>
                <w:color w:val="auto"/>
              </w:rPr>
              <w:t>December 31, 2019</w:t>
            </w:r>
          </w:p>
        </w:tc>
      </w:tr>
      <w:tr>
        <w:trPr>
          <w:trHeight w:val="152"/>
        </w:trPr>
        <w:tc>
          <w:tcPr>
            <w:tcW w:w="5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7"/>
              </w:rPr>
              <w:t>Carrying</w:t>
            </w:r>
          </w:p>
        </w:tc>
        <w:tc>
          <w:tcPr>
            <w:tcW w:w="460" w:type="dxa"/>
            <w:vAlign w:val="bottom"/>
          </w:tcPr>
          <w:p>
            <w:pPr>
              <w:spacing w:after="0"/>
              <w:rPr>
                <w:sz w:val="13"/>
                <w:szCs w:val="13"/>
                <w:color w:val="auto"/>
              </w:rPr>
            </w:pPr>
          </w:p>
        </w:tc>
        <w:tc>
          <w:tcPr>
            <w:tcW w:w="960" w:type="dxa"/>
            <w:vAlign w:val="bottom"/>
            <w:gridSpan w:val="2"/>
          </w:tcPr>
          <w:p>
            <w:pPr>
              <w:jc w:val="center"/>
              <w:ind w:right="540"/>
              <w:spacing w:after="0" w:line="153" w:lineRule="exact"/>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3"/>
                <w:szCs w:val="13"/>
                <w:color w:val="auto"/>
              </w:rPr>
            </w:pPr>
          </w:p>
        </w:tc>
        <w:tc>
          <w:tcPr>
            <w:tcW w:w="11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7"/>
              </w:rPr>
              <w:t>Carrying</w:t>
            </w:r>
          </w:p>
        </w:tc>
        <w:tc>
          <w:tcPr>
            <w:tcW w:w="300" w:type="dxa"/>
            <w:vAlign w:val="bottom"/>
          </w:tcPr>
          <w:p>
            <w:pPr>
              <w:spacing w:after="0"/>
              <w:rPr>
                <w:sz w:val="13"/>
                <w:szCs w:val="13"/>
                <w:color w:val="auto"/>
              </w:rPr>
            </w:pPr>
          </w:p>
        </w:tc>
        <w:tc>
          <w:tcPr>
            <w:tcW w:w="1020" w:type="dxa"/>
            <w:vAlign w:val="bottom"/>
          </w:tcPr>
          <w:p>
            <w:pPr>
              <w:jc w:val="right"/>
              <w:ind w:right="435"/>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6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460" w:type="dxa"/>
            <w:vAlign w:val="bottom"/>
          </w:tcPr>
          <w:p>
            <w:pPr>
              <w:spacing w:after="0"/>
              <w:rPr>
                <w:sz w:val="16"/>
                <w:szCs w:val="16"/>
                <w:color w:val="auto"/>
              </w:rPr>
            </w:pPr>
          </w:p>
        </w:tc>
        <w:tc>
          <w:tcPr>
            <w:tcW w:w="9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Value</w:t>
            </w:r>
          </w:p>
        </w:tc>
        <w:tc>
          <w:tcPr>
            <w:tcW w:w="24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Amount</w:t>
            </w:r>
          </w:p>
        </w:tc>
        <w:tc>
          <w:tcPr>
            <w:tcW w:w="300" w:type="dxa"/>
            <w:vAlign w:val="bottom"/>
          </w:tcPr>
          <w:p>
            <w:pPr>
              <w:spacing w:after="0"/>
              <w:rPr>
                <w:sz w:val="16"/>
                <w:szCs w:val="16"/>
                <w:color w:val="auto"/>
              </w:rPr>
            </w:pPr>
          </w:p>
        </w:tc>
        <w:tc>
          <w:tcPr>
            <w:tcW w:w="1020" w:type="dxa"/>
            <w:vAlign w:val="bottom"/>
          </w:tcPr>
          <w:p>
            <w:pPr>
              <w:jc w:val="right"/>
              <w:ind w:right="395"/>
              <w:spacing w:after="0"/>
              <w:rPr>
                <w:sz w:val="20"/>
                <w:szCs w:val="20"/>
                <w:color w:val="auto"/>
              </w:rPr>
            </w:pPr>
            <w:r>
              <w:rPr>
                <w:rFonts w:ascii="Arial" w:cs="Arial" w:eastAsia="Arial" w:hAnsi="Arial"/>
                <w:sz w:val="14"/>
                <w:szCs w:val="14"/>
                <w:b w:val="1"/>
                <w:bCs w:val="1"/>
                <w:color w:val="auto"/>
              </w:rPr>
              <w:t>Value</w:t>
            </w:r>
          </w:p>
        </w:tc>
      </w:tr>
      <w:tr>
        <w:trPr>
          <w:trHeight w:val="250"/>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receivables</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364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347</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Customer financing notes receivable</w:t>
            </w:r>
          </w:p>
        </w:tc>
        <w:tc>
          <w:tcPr>
            <w:tcW w:w="240" w:type="dxa"/>
            <w:vAlign w:val="bottom"/>
          </w:tcPr>
          <w:p>
            <w:pPr>
              <w:spacing w:after="0"/>
              <w:rPr>
                <w:sz w:val="21"/>
                <w:szCs w:val="21"/>
                <w:color w:val="auto"/>
              </w:rPr>
            </w:pPr>
          </w:p>
        </w:tc>
        <w:tc>
          <w:tcPr>
            <w:tcW w:w="1060" w:type="dxa"/>
            <w:vAlign w:val="bottom"/>
          </w:tcPr>
          <w:p>
            <w:pPr>
              <w:ind w:left="640"/>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75"/>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77"/>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283</w:t>
            </w:r>
          </w:p>
        </w:tc>
      </w:tr>
      <w:tr>
        <w:trPr>
          <w:trHeight w:val="27"/>
        </w:trPr>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borrowings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(1,725)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(2,364)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(2,364)</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Long-term debt (excluding finance leases)</w:t>
            </w:r>
          </w:p>
        </w:tc>
        <w:tc>
          <w:tcPr>
            <w:tcW w:w="24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(44,510)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(47,738)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(41,199)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(46,202)</w:t>
            </w:r>
          </w:p>
        </w:tc>
      </w:tr>
      <w:tr>
        <w:trPr>
          <w:trHeight w:val="27"/>
        </w:trPr>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liabilities</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(322)</w:t>
            </w:r>
          </w:p>
        </w:tc>
      </w:tr>
      <w:tr>
        <w:trPr>
          <w:trHeight w:val="27"/>
        </w:trPr>
        <w:tc>
          <w:tcPr>
            <w:tcW w:w="56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680" w:firstLine="445"/>
        <w:spacing w:after="0" w:line="276" w:lineRule="auto"/>
        <w:rPr>
          <w:sz w:val="20"/>
          <w:szCs w:val="20"/>
          <w:color w:val="auto"/>
        </w:rPr>
      </w:pPr>
      <w:r>
        <w:rPr>
          <w:rFonts w:ascii="Arial" w:cs="Arial" w:eastAsia="Arial" w:hAnsi="Arial"/>
          <w:sz w:val="18"/>
          <w:szCs w:val="18"/>
          <w:color w:val="auto"/>
        </w:rPr>
        <w:t>The following table provides the valuation hierarchy classification of assets and liabilities that are not carried at fair value in our Condensed Consolidated Balance Sheet at March 31, 2020 and December 31, 2019:</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94"/>
              </w:rPr>
              <w:t>March 31, 2020</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96"/>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88"/>
              </w:rPr>
              <w:t>Level 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Level 3</w:t>
            </w:r>
          </w:p>
        </w:tc>
      </w:tr>
      <w:tr>
        <w:trPr>
          <w:trHeight w:val="249"/>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receivables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Customer financing notes receivable</w:t>
            </w:r>
          </w:p>
        </w:tc>
        <w:tc>
          <w:tcPr>
            <w:tcW w:w="30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7"/>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borrowings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(1,225)</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Long-term debt (excluding finance leases)</w:t>
            </w:r>
          </w:p>
        </w:tc>
        <w:tc>
          <w:tcPr>
            <w:tcW w:w="3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(47,738)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(44,642)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(3,096)</w:t>
            </w:r>
          </w:p>
        </w:tc>
      </w:tr>
      <w:tr>
        <w:trPr>
          <w:trHeight w:val="27"/>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liabilities</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7"/>
        </w:trPr>
        <w:tc>
          <w:tcPr>
            <w:tcW w:w="56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December 31, 2019</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96"/>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Level 3</w:t>
            </w:r>
          </w:p>
        </w:tc>
      </w:tr>
      <w:tr>
        <w:trPr>
          <w:trHeight w:val="249"/>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receivables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Customer financing notes receivable</w:t>
            </w:r>
          </w:p>
        </w:tc>
        <w:tc>
          <w:tcPr>
            <w:tcW w:w="30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w:t>
            </w:r>
          </w:p>
        </w:tc>
      </w:tr>
      <w:tr>
        <w:trPr>
          <w:trHeight w:val="27"/>
        </w:trPr>
        <w:tc>
          <w:tcPr>
            <w:tcW w:w="5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borrowings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(2,364)</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Long-term debt (excluding finance leases)</w:t>
            </w:r>
          </w:p>
        </w:tc>
        <w:tc>
          <w:tcPr>
            <w:tcW w:w="30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(46,202)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(45,802)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(400)</w:t>
            </w:r>
          </w:p>
        </w:tc>
      </w:tr>
      <w:tr>
        <w:trPr>
          <w:trHeight w:val="27"/>
        </w:trPr>
        <w:tc>
          <w:tcPr>
            <w:tcW w:w="5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liabilities</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r>
      <w:tr>
        <w:trPr>
          <w:trHeight w:val="27"/>
        </w:trPr>
        <w:tc>
          <w:tcPr>
            <w:tcW w:w="56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00" w:firstLine="445"/>
        <w:spacing w:after="0" w:line="257" w:lineRule="auto"/>
        <w:rPr>
          <w:sz w:val="20"/>
          <w:szCs w:val="20"/>
          <w:color w:val="auto"/>
        </w:rPr>
      </w:pPr>
      <w:r>
        <w:rPr>
          <w:rFonts w:ascii="Arial" w:cs="Arial" w:eastAsia="Arial" w:hAnsi="Arial"/>
          <w:sz w:val="18"/>
          <w:szCs w:val="18"/>
          <w:color w:val="auto"/>
        </w:rPr>
        <w:t>We had commercial aerospace financing and other contractual commitments totaling approximately $14.8 billion and $15.0 billion as of March 31, 2020 and December 31, 2019, respectively, related to commercial aircraft and certain contractual rights to provide product on new aircraft platforms. Associated risks on these commitments from changes in interest rates are mitigated because interest rates are variable during the commitment term and are set at the date of funding based on current market conditions, the fair value of the underlying collateral and the credit worthiness of the customers. As a result, the fair value of these financings is expected to equal the amounts funded.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Long-Term Financing Receivables</w:t>
      </w:r>
    </w:p>
    <w:p>
      <w:pPr>
        <w:spacing w:after="0" w:line="121"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Our long-term financing receivables primarily represent balances related to the aerospace businesses such as long-term trade accounts receivable, leases, and notes receivable. We also have other long-term receivables in our commercial businesses; however, both the individual and aggregate amounts of those other receivables are not significant. The following table summarizes the balance by class of aerospace business related long-term receivables as of March 31, 2020 and December 31, 2019:</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Pr>
          <w:p>
            <w:pPr>
              <w:spacing w:after="0"/>
              <w:rPr>
                <w:sz w:val="16"/>
                <w:szCs w:val="16"/>
                <w:color w:val="auto"/>
              </w:rPr>
            </w:pPr>
          </w:p>
        </w:tc>
        <w:tc>
          <w:tcPr>
            <w:tcW w:w="1480" w:type="dxa"/>
            <w:vAlign w:val="bottom"/>
          </w:tcPr>
          <w:p>
            <w:pPr>
              <w:jc w:val="right"/>
              <w:ind w:right="155"/>
              <w:spacing w:after="0"/>
              <w:rPr>
                <w:sz w:val="20"/>
                <w:szCs w:val="20"/>
                <w:color w:val="auto"/>
              </w:rPr>
            </w:pPr>
            <w:r>
              <w:rPr>
                <w:rFonts w:ascii="Arial" w:cs="Arial" w:eastAsia="Arial" w:hAnsi="Arial"/>
                <w:sz w:val="14"/>
                <w:szCs w:val="14"/>
                <w:b w:val="1"/>
                <w:bCs w:val="1"/>
                <w:color w:val="auto"/>
                <w:w w:val="96"/>
              </w:rPr>
              <w:t>December 31, 2019</w:t>
            </w:r>
          </w:p>
        </w:tc>
      </w:tr>
      <w:tr>
        <w:trPr>
          <w:trHeight w:val="250"/>
        </w:trPr>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trade accounts receivable</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251</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Notes and leases receivable</w:t>
            </w:r>
          </w:p>
        </w:tc>
        <w:tc>
          <w:tcPr>
            <w:tcW w:w="220" w:type="dxa"/>
            <w:vAlign w:val="bottom"/>
          </w:tcPr>
          <w:p>
            <w:pPr>
              <w:spacing w:after="0"/>
              <w:rPr>
                <w:sz w:val="21"/>
                <w:szCs w:val="21"/>
                <w:color w:val="auto"/>
              </w:rPr>
            </w:pPr>
          </w:p>
        </w:tc>
        <w:tc>
          <w:tcPr>
            <w:tcW w:w="1400" w:type="dxa"/>
            <w:vAlign w:val="bottom"/>
          </w:tcPr>
          <w:p>
            <w:pPr>
              <w:jc w:val="right"/>
              <w:ind w:right="55"/>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75"/>
              <w:spacing w:after="0"/>
              <w:rPr>
                <w:sz w:val="20"/>
                <w:szCs w:val="20"/>
                <w:color w:val="auto"/>
              </w:rPr>
            </w:pPr>
            <w:r>
              <w:rPr>
                <w:rFonts w:ascii="Arial" w:cs="Arial" w:eastAsia="Arial" w:hAnsi="Arial"/>
                <w:sz w:val="18"/>
                <w:szCs w:val="18"/>
                <w:color w:val="auto"/>
              </w:rPr>
              <w:t>265</w:t>
            </w:r>
          </w:p>
        </w:tc>
      </w:tr>
      <w:tr>
        <w:trPr>
          <w:trHeight w:val="27"/>
        </w:trPr>
        <w:tc>
          <w:tcPr>
            <w:tcW w:w="7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8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receivables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512</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516</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40" w:firstLine="405"/>
        <w:spacing w:after="0" w:line="257" w:lineRule="auto"/>
        <w:rPr>
          <w:sz w:val="20"/>
          <w:szCs w:val="20"/>
          <w:color w:val="auto"/>
        </w:rPr>
      </w:pPr>
      <w:r>
        <w:rPr>
          <w:rFonts w:ascii="Arial" w:cs="Arial" w:eastAsia="Arial" w:hAnsi="Arial"/>
          <w:sz w:val="18"/>
          <w:szCs w:val="18"/>
          <w:color w:val="auto"/>
        </w:rPr>
        <w:t>Customer credit ratings range from customers with an extremely strong capacity to meet financial obligations to customers whose uncollateralized receivable is in default. There can be no assurance that actual results will not differ from estimates or that consideration of these factors in the future will not result in an increase or decrease to the allowance for credit losses on long-term receivables. Based upon the customer credit ratings, approximately $240 million and $150 million of our total long-term receivables were considered to bear high credit risk as of March 31, 2020 and December 31, 2019, respectively.</w:t>
      </w:r>
    </w:p>
    <w:p>
      <w:pPr>
        <w:spacing w:after="0" w:line="80" w:lineRule="exact"/>
        <w:rPr>
          <w:sz w:val="20"/>
          <w:szCs w:val="20"/>
          <w:color w:val="auto"/>
        </w:rPr>
      </w:pPr>
    </w:p>
    <w:p>
      <w:pPr>
        <w:ind w:right="20" w:firstLine="405"/>
        <w:spacing w:after="0"/>
        <w:rPr>
          <w:sz w:val="20"/>
          <w:szCs w:val="20"/>
          <w:color w:val="auto"/>
        </w:rPr>
      </w:pPr>
      <w:r>
        <w:rPr>
          <w:rFonts w:ascii="Arial" w:cs="Arial" w:eastAsia="Arial" w:hAnsi="Arial"/>
          <w:sz w:val="18"/>
          <w:szCs w:val="18"/>
          <w:color w:val="auto"/>
        </w:rPr>
        <w:t>Reserves for credit losses on long term receivables relate to specifically identified receivables that are evaluated individually for impairment. For long-term trade accounts receivable, we evaluate credit risk and collectability individually to determine if an allowance is necessary. For notes and leases receivable, we determine a specific reserve for exposure based on the difference between the carrying value of the receivable and the estimated fair value of the related collateral in connection with the evaluation of credit risk and collectability. Our total long-term receivables reflected in the table above, include reserves of $33 million and $17 million as of March 31, 2020 and December 31, 2019, respectively. Changes in the allowance for credit losses were not material for the quarter ended March 31, 2020.</w:t>
      </w:r>
    </w:p>
    <w:p>
      <w:pPr>
        <w:spacing w:after="0" w:line="81"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At March 31, 2020 and December 31, 2019, we did not have any significant balances that are considered to be delinquent, on non-accrual status, past due 90 days or more, or considered to be impaired.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Accumulated Other Comprehensive Loss</w:t>
      </w:r>
    </w:p>
    <w:p>
      <w:pPr>
        <w:spacing w:after="0" w:line="121"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A summary of the changes in each component of Accumulated other comprehensive loss, net of tax for the quarters ended March 31, 2020 and 2019 is provided below:</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Defined</w:t>
            </w: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Benefit</w:t>
            </w:r>
          </w:p>
        </w:tc>
        <w:tc>
          <w:tcPr>
            <w:tcW w:w="260" w:type="dxa"/>
            <w:vAlign w:val="bottom"/>
          </w:tcPr>
          <w:p>
            <w:pPr>
              <w:spacing w:after="0"/>
              <w:rPr>
                <w:sz w:val="12"/>
                <w:szCs w:val="12"/>
                <w:color w:val="auto"/>
              </w:rPr>
            </w:pPr>
          </w:p>
        </w:tc>
        <w:tc>
          <w:tcPr>
            <w:tcW w:w="13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2"/>
                <w:szCs w:val="12"/>
                <w:color w:val="auto"/>
              </w:rPr>
            </w:pPr>
          </w:p>
        </w:tc>
        <w:tc>
          <w:tcPr>
            <w:tcW w:w="1340" w:type="dxa"/>
            <w:vAlign w:val="bottom"/>
            <w:vMerge w:val="restart"/>
          </w:tcPr>
          <w:p>
            <w:pPr>
              <w:jc w:val="center"/>
              <w:ind w:right="118"/>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Foreign</w:t>
            </w:r>
          </w:p>
        </w:tc>
        <w:tc>
          <w:tcPr>
            <w:tcW w:w="24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Pension and</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Post-</w:t>
            </w: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Hedging</w:t>
            </w:r>
          </w:p>
        </w:tc>
        <w:tc>
          <w:tcPr>
            <w:tcW w:w="200" w:type="dxa"/>
            <w:vAlign w:val="bottom"/>
          </w:tcPr>
          <w:p>
            <w:pPr>
              <w:spacing w:after="0"/>
              <w:rPr>
                <w:sz w:val="12"/>
                <w:szCs w:val="12"/>
                <w:color w:val="auto"/>
              </w:rPr>
            </w:pPr>
          </w:p>
        </w:tc>
        <w:tc>
          <w:tcPr>
            <w:tcW w:w="134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Currency</w:t>
            </w:r>
          </w:p>
        </w:tc>
        <w:tc>
          <w:tcPr>
            <w:tcW w:w="24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retirement</w:t>
            </w:r>
          </w:p>
        </w:tc>
        <w:tc>
          <w:tcPr>
            <w:tcW w:w="260" w:type="dxa"/>
            <w:vAlign w:val="bottom"/>
          </w:tcPr>
          <w:p>
            <w:pPr>
              <w:spacing w:after="0"/>
              <w:rPr>
                <w:sz w:val="12"/>
                <w:szCs w:val="12"/>
                <w:color w:val="auto"/>
              </w:rPr>
            </w:pPr>
          </w:p>
        </w:tc>
        <w:tc>
          <w:tcPr>
            <w:tcW w:w="13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(Losses)</w:t>
            </w:r>
          </w:p>
        </w:tc>
        <w:tc>
          <w:tcPr>
            <w:tcW w:w="200" w:type="dxa"/>
            <w:vAlign w:val="bottom"/>
          </w:tcPr>
          <w:p>
            <w:pPr>
              <w:spacing w:after="0"/>
              <w:rPr>
                <w:sz w:val="12"/>
                <w:szCs w:val="12"/>
                <w:color w:val="auto"/>
              </w:rPr>
            </w:pPr>
          </w:p>
        </w:tc>
        <w:tc>
          <w:tcPr>
            <w:tcW w:w="134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92"/>
        </w:trPr>
        <w:tc>
          <w:tcPr>
            <w:tcW w:w="47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Translation</w:t>
            </w:r>
          </w:p>
        </w:tc>
        <w:tc>
          <w:tcPr>
            <w:tcW w:w="24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Plans</w:t>
            </w:r>
          </w:p>
        </w:tc>
        <w:tc>
          <w:tcPr>
            <w:tcW w:w="26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16"/>
                <w:szCs w:val="16"/>
                <w:color w:val="auto"/>
              </w:rPr>
            </w:pPr>
          </w:p>
        </w:tc>
        <w:tc>
          <w:tcPr>
            <w:tcW w:w="1340" w:type="dxa"/>
            <w:vAlign w:val="bottom"/>
          </w:tcPr>
          <w:p>
            <w:pPr>
              <w:jc w:val="center"/>
              <w:ind w:right="118"/>
              <w:spacing w:after="0"/>
              <w:rPr>
                <w:sz w:val="20"/>
                <w:szCs w:val="20"/>
                <w:color w:val="auto"/>
              </w:rPr>
            </w:pPr>
            <w:r>
              <w:rPr>
                <w:rFonts w:ascii="Arial" w:cs="Arial" w:eastAsia="Arial" w:hAnsi="Arial"/>
                <w:sz w:val="14"/>
                <w:szCs w:val="14"/>
                <w:b w:val="1"/>
                <w:bCs w:val="1"/>
                <w:color w:val="auto"/>
                <w:w w:val="90"/>
              </w:rPr>
              <w:t>(Loss) Income</w:t>
            </w:r>
          </w:p>
        </w:tc>
        <w:tc>
          <w:tcPr>
            <w:tcW w:w="0" w:type="dxa"/>
            <w:vAlign w:val="bottom"/>
          </w:tcPr>
          <w:p>
            <w:pPr>
              <w:spacing w:after="0"/>
              <w:rPr>
                <w:sz w:val="1"/>
                <w:szCs w:val="1"/>
                <w:color w:val="auto"/>
              </w:rPr>
            </w:pPr>
          </w:p>
        </w:tc>
      </w:tr>
      <w:tr>
        <w:trPr>
          <w:trHeight w:val="236"/>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Quarter Ended March 31, 2020</w:t>
            </w: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Balance at December 31, 2019</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(3,211)</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9"/>
              <w:spacing w:after="0"/>
              <w:rPr>
                <w:sz w:val="20"/>
                <w:szCs w:val="20"/>
                <w:color w:val="auto"/>
              </w:rPr>
            </w:pPr>
            <w:r>
              <w:rPr>
                <w:rFonts w:ascii="Arial" w:cs="Arial" w:eastAsia="Arial" w:hAnsi="Arial"/>
                <w:sz w:val="18"/>
                <w:szCs w:val="18"/>
                <w:color w:val="auto"/>
              </w:rPr>
              <w:t>(6,772)</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8"/>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8"/>
              <w:spacing w:after="0"/>
              <w:rPr>
                <w:sz w:val="20"/>
                <w:szCs w:val="20"/>
                <w:color w:val="auto"/>
              </w:rPr>
            </w:pPr>
            <w:r>
              <w:rPr>
                <w:rFonts w:ascii="Arial" w:cs="Arial" w:eastAsia="Arial" w:hAnsi="Arial"/>
                <w:sz w:val="18"/>
                <w:szCs w:val="18"/>
                <w:color w:val="auto"/>
              </w:rPr>
              <w:t>(10,149)</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 before</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reclassifications, net</w:t>
            </w: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(1,445)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(1,840)</w:t>
            </w: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Amounts reclassified, pre-tax</w:t>
            </w:r>
          </w:p>
        </w:tc>
        <w:tc>
          <w:tcPr>
            <w:tcW w:w="260" w:type="dxa"/>
            <w:vAlign w:val="bottom"/>
          </w:tcPr>
          <w:p>
            <w:pPr>
              <w:spacing w:after="0"/>
              <w:rPr>
                <w:sz w:val="21"/>
                <w:szCs w:val="21"/>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80" w:type="dxa"/>
            <w:vAlign w:val="bottom"/>
          </w:tcPr>
          <w:p>
            <w:pPr>
              <w:jc w:val="right"/>
              <w:ind w:right="59"/>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78"/>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78"/>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benefit (expense)</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64"/>
        </w:trPr>
        <w:tc>
          <w:tcPr>
            <w:tcW w:w="478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2020</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(4,647)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(6,693)</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(448)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(11,788)</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7"/>
        </w:trPr>
        <w:tc>
          <w:tcPr>
            <w:tcW w:w="4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Defined</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Benefit</w:t>
            </w:r>
          </w:p>
        </w:tc>
        <w:tc>
          <w:tcPr>
            <w:tcW w:w="260" w:type="dxa"/>
            <w:vAlign w:val="bottom"/>
          </w:tcPr>
          <w:p>
            <w:pPr>
              <w:spacing w:after="0"/>
              <w:rPr>
                <w:sz w:val="12"/>
                <w:szCs w:val="12"/>
                <w:color w:val="auto"/>
              </w:rPr>
            </w:pPr>
          </w:p>
        </w:tc>
        <w:tc>
          <w:tcPr>
            <w:tcW w:w="13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2"/>
                <w:szCs w:val="12"/>
                <w:color w:val="auto"/>
              </w:rPr>
            </w:pPr>
          </w:p>
        </w:tc>
        <w:tc>
          <w:tcPr>
            <w:tcW w:w="1340" w:type="dxa"/>
            <w:vAlign w:val="bottom"/>
            <w:vMerge w:val="restart"/>
          </w:tcPr>
          <w:p>
            <w:pPr>
              <w:jc w:val="center"/>
              <w:ind w:right="118"/>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Foreign</w:t>
            </w:r>
          </w:p>
        </w:tc>
        <w:tc>
          <w:tcPr>
            <w:tcW w:w="24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Pension and</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Post-</w:t>
            </w: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Hedging</w:t>
            </w:r>
          </w:p>
        </w:tc>
        <w:tc>
          <w:tcPr>
            <w:tcW w:w="200" w:type="dxa"/>
            <w:vAlign w:val="bottom"/>
          </w:tcPr>
          <w:p>
            <w:pPr>
              <w:spacing w:after="0"/>
              <w:rPr>
                <w:sz w:val="12"/>
                <w:szCs w:val="12"/>
                <w:color w:val="auto"/>
              </w:rPr>
            </w:pPr>
          </w:p>
        </w:tc>
        <w:tc>
          <w:tcPr>
            <w:tcW w:w="134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Currency</w:t>
            </w:r>
          </w:p>
        </w:tc>
        <w:tc>
          <w:tcPr>
            <w:tcW w:w="24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retirement</w:t>
            </w:r>
          </w:p>
        </w:tc>
        <w:tc>
          <w:tcPr>
            <w:tcW w:w="260" w:type="dxa"/>
            <w:vAlign w:val="bottom"/>
          </w:tcPr>
          <w:p>
            <w:pPr>
              <w:spacing w:after="0"/>
              <w:rPr>
                <w:sz w:val="12"/>
                <w:szCs w:val="12"/>
                <w:color w:val="auto"/>
              </w:rPr>
            </w:pPr>
          </w:p>
        </w:tc>
        <w:tc>
          <w:tcPr>
            <w:tcW w:w="13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(Losses)</w:t>
            </w:r>
          </w:p>
        </w:tc>
        <w:tc>
          <w:tcPr>
            <w:tcW w:w="200" w:type="dxa"/>
            <w:vAlign w:val="bottom"/>
          </w:tcPr>
          <w:p>
            <w:pPr>
              <w:spacing w:after="0"/>
              <w:rPr>
                <w:sz w:val="12"/>
                <w:szCs w:val="12"/>
                <w:color w:val="auto"/>
              </w:rPr>
            </w:pPr>
          </w:p>
        </w:tc>
        <w:tc>
          <w:tcPr>
            <w:tcW w:w="134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92"/>
        </w:trPr>
        <w:tc>
          <w:tcPr>
            <w:tcW w:w="47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Translation</w:t>
            </w:r>
          </w:p>
        </w:tc>
        <w:tc>
          <w:tcPr>
            <w:tcW w:w="24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Plans</w:t>
            </w:r>
          </w:p>
        </w:tc>
        <w:tc>
          <w:tcPr>
            <w:tcW w:w="26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16"/>
                <w:szCs w:val="16"/>
                <w:color w:val="auto"/>
              </w:rPr>
            </w:pPr>
          </w:p>
        </w:tc>
        <w:tc>
          <w:tcPr>
            <w:tcW w:w="1340" w:type="dxa"/>
            <w:vAlign w:val="bottom"/>
          </w:tcPr>
          <w:p>
            <w:pPr>
              <w:jc w:val="center"/>
              <w:ind w:right="118"/>
              <w:spacing w:after="0"/>
              <w:rPr>
                <w:sz w:val="20"/>
                <w:szCs w:val="20"/>
                <w:color w:val="auto"/>
              </w:rPr>
            </w:pPr>
            <w:r>
              <w:rPr>
                <w:rFonts w:ascii="Arial" w:cs="Arial" w:eastAsia="Arial" w:hAnsi="Arial"/>
                <w:sz w:val="14"/>
                <w:szCs w:val="14"/>
                <w:b w:val="1"/>
                <w:bCs w:val="1"/>
                <w:color w:val="auto"/>
                <w:w w:val="90"/>
              </w:rPr>
              <w:t>(Loss) Income</w:t>
            </w:r>
          </w:p>
        </w:tc>
        <w:tc>
          <w:tcPr>
            <w:tcW w:w="0" w:type="dxa"/>
            <w:vAlign w:val="bottom"/>
          </w:tcPr>
          <w:p>
            <w:pPr>
              <w:spacing w:after="0"/>
              <w:rPr>
                <w:sz w:val="1"/>
                <w:szCs w:val="1"/>
                <w:color w:val="auto"/>
              </w:rPr>
            </w:pPr>
          </w:p>
        </w:tc>
      </w:tr>
      <w:tr>
        <w:trPr>
          <w:trHeight w:val="236"/>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Quarter ended March 31, 2019</w:t>
            </w: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Balance at December 31, 2018</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(3,442)</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9"/>
              <w:spacing w:after="0"/>
              <w:rPr>
                <w:sz w:val="20"/>
                <w:szCs w:val="20"/>
                <w:color w:val="auto"/>
              </w:rPr>
            </w:pPr>
            <w:r>
              <w:rPr>
                <w:rFonts w:ascii="Arial" w:cs="Arial" w:eastAsia="Arial" w:hAnsi="Arial"/>
                <w:sz w:val="18"/>
                <w:szCs w:val="18"/>
                <w:color w:val="auto"/>
              </w:rPr>
              <w:t>(5,718)</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8"/>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8"/>
              <w:spacing w:after="0"/>
              <w:rPr>
                <w:sz w:val="20"/>
                <w:szCs w:val="20"/>
                <w:color w:val="auto"/>
              </w:rPr>
            </w:pPr>
            <w:r>
              <w:rPr>
                <w:rFonts w:ascii="Arial" w:cs="Arial" w:eastAsia="Arial" w:hAnsi="Arial"/>
                <w:sz w:val="18"/>
                <w:szCs w:val="18"/>
                <w:color w:val="auto"/>
              </w:rPr>
              <w:t>(9,333)</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before</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reclassifications, net</w:t>
            </w: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Amounts reclassified, pre-tax</w:t>
            </w:r>
          </w:p>
        </w:tc>
        <w:tc>
          <w:tcPr>
            <w:tcW w:w="260" w:type="dxa"/>
            <w:vAlign w:val="bottom"/>
          </w:tcPr>
          <w:p>
            <w:pPr>
              <w:spacing w:after="0"/>
              <w:rPr>
                <w:sz w:val="21"/>
                <w:szCs w:val="21"/>
                <w:color w:val="auto"/>
              </w:rPr>
            </w:pPr>
          </w:p>
        </w:tc>
        <w:tc>
          <w:tcPr>
            <w:tcW w:w="1280" w:type="dxa"/>
            <w:vAlign w:val="bottom"/>
          </w:tcPr>
          <w:p>
            <w:pPr>
              <w:jc w:val="right"/>
              <w:ind w:right="7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59"/>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78"/>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78"/>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expense</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ASU 2018-02 adoption impact</w:t>
            </w:r>
          </w:p>
        </w:tc>
        <w:tc>
          <w:tcPr>
            <w:tcW w:w="260" w:type="dxa"/>
            <w:vAlign w:val="bottom"/>
          </w:tcPr>
          <w:p>
            <w:pPr>
              <w:spacing w:after="0"/>
              <w:rPr>
                <w:sz w:val="21"/>
                <w:szCs w:val="21"/>
                <w:color w:val="auto"/>
              </w:rPr>
            </w:pP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19"/>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40" w:type="dxa"/>
            <w:vAlign w:val="bottom"/>
          </w:tcPr>
          <w:p>
            <w:pPr>
              <w:jc w:val="right"/>
              <w:ind w:right="38"/>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2019</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(2,932)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(6,422)</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(165)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(9,519)</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In February 2018, the FASB issued ASU 2018-02, Reclassification of Certain Tax Effects from Accumulated Other Comprehensive Income (Topic 220). The standard allowed companies to reclassify to retained earnings the stranded tax effects in Accumulated other comprehensive income (AOCI) from the Tax Cuts and Jobs Act ("TCJA"). We elected to reclassify the income tax effects of TCJA from AOCI of $745 million to retained earnings, effective January 1, 2019.</w:t>
      </w:r>
    </w:p>
    <w:p>
      <w:pPr>
        <w:spacing w:after="0" w:line="79" w:lineRule="exact"/>
        <w:rPr>
          <w:sz w:val="20"/>
          <w:szCs w:val="20"/>
          <w:color w:val="auto"/>
        </w:rPr>
      </w:pPr>
    </w:p>
    <w:p>
      <w:pPr>
        <w:jc w:val="both"/>
        <w:ind w:right="140" w:firstLine="405"/>
        <w:spacing w:after="0" w:line="263" w:lineRule="auto"/>
        <w:rPr>
          <w:sz w:val="20"/>
          <w:szCs w:val="20"/>
          <w:color w:val="auto"/>
        </w:rPr>
      </w:pPr>
      <w:r>
        <w:rPr>
          <w:rFonts w:ascii="Arial" w:cs="Arial" w:eastAsia="Arial" w:hAnsi="Arial"/>
          <w:sz w:val="18"/>
          <w:szCs w:val="18"/>
          <w:color w:val="auto"/>
        </w:rPr>
        <w:t>Amounts reclassified that relate to our defined benefit pension and postretirement plans include the amortization of prior service costs and actuarial net losses recognized during each period presented. These costs are recorded as components of net periodic pension benefit for each period presented (see Note 8 for additional details).</w:t>
      </w:r>
    </w:p>
    <w:p>
      <w:pPr>
        <w:spacing w:after="0" w:line="76" w:lineRule="exact"/>
        <w:rPr>
          <w:sz w:val="20"/>
          <w:szCs w:val="20"/>
          <w:color w:val="auto"/>
        </w:rPr>
      </w:pPr>
    </w:p>
    <w:p>
      <w:pPr>
        <w:ind w:right="20" w:firstLine="445"/>
        <w:spacing w:after="0" w:line="263" w:lineRule="auto"/>
        <w:rPr>
          <w:sz w:val="20"/>
          <w:szCs w:val="20"/>
          <w:color w:val="auto"/>
        </w:rPr>
      </w:pPr>
      <w:r>
        <w:rPr>
          <w:rFonts w:ascii="Arial" w:cs="Arial" w:eastAsia="Arial" w:hAnsi="Arial"/>
          <w:sz w:val="18"/>
          <w:szCs w:val="18"/>
          <w:color w:val="auto"/>
        </w:rPr>
        <w:t>All noncontrolling interests with redemption features, such as put options, that are not solely within our control (redeemable noncontrolling interests) are reported in the mezzanine section of the Condensed Consolidated Balance Sheet, between liabilities and equity, at the greater of redemption value or initial carrying value.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Variable Interest Entities</w:t>
      </w:r>
    </w:p>
    <w:p>
      <w:pPr>
        <w:spacing w:after="0" w:line="121"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Pratt &amp; Whitney holds a 61% net interest in the International Aero Engines AG (IAE) collaboration with MTU Aero Engines AG (MTU) and Japanese Aero Engines Corporation (JAEC) and a 49.5% ownership interest in IAE. IAE's business purpose is to coordinate the design, development, manufacturing and product support of the V2500 program through involvement with the collaborators. Additionally, Pratt &amp; Whitney, JAEC and MTU are participants in International Aero Engines, LLC (IAE LLC), whose business purpose is to coordinate the design, development, manufacturing and product support for the PW1100G-JM engine for the Airbus A320neo aircraft and the PW1400G-JM engine for the Irkut MC21 aircraft. Pratt &amp; Whitney holds a 59% net interest and a 59% ownership interest in IAE LLC. IAE and IAE LLC retain limited equity with the primary economics of the programs passed to the participants. As such, we have determined that IAE and IAE LLC are variable interest entities with Pratt &amp; Whitney the primary beneficiary. IAE and IAE LLC have, therefore, been consolidated. The carrying amounts and classification of assets and liabilities for variable interest entities in our Condensed Consolidated Balance Sheet are as follows: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Pr>
          <w:p>
            <w:pPr>
              <w:spacing w:after="0"/>
              <w:rPr>
                <w:sz w:val="16"/>
                <w:szCs w:val="16"/>
                <w:color w:val="auto"/>
              </w:rPr>
            </w:pPr>
          </w:p>
        </w:tc>
        <w:tc>
          <w:tcPr>
            <w:tcW w:w="150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Pr>
          <w:p>
            <w:pPr>
              <w:spacing w:after="0"/>
              <w:rPr>
                <w:sz w:val="16"/>
                <w:szCs w:val="16"/>
                <w:color w:val="auto"/>
              </w:rPr>
            </w:pPr>
          </w:p>
        </w:tc>
        <w:tc>
          <w:tcPr>
            <w:tcW w:w="1460" w:type="dxa"/>
            <w:vAlign w:val="bottom"/>
          </w:tcPr>
          <w:p>
            <w:pPr>
              <w:jc w:val="right"/>
              <w:ind w:right="133"/>
              <w:spacing w:after="0"/>
              <w:rPr>
                <w:sz w:val="20"/>
                <w:szCs w:val="20"/>
                <w:color w:val="auto"/>
              </w:rPr>
            </w:pPr>
            <w:r>
              <w:rPr>
                <w:rFonts w:ascii="Arial" w:cs="Arial" w:eastAsia="Arial" w:hAnsi="Arial"/>
                <w:sz w:val="14"/>
                <w:szCs w:val="14"/>
                <w:b w:val="1"/>
                <w:bCs w:val="1"/>
                <w:color w:val="auto"/>
                <w:w w:val="96"/>
              </w:rPr>
              <w:t>December 31, 2019</w:t>
            </w:r>
          </w:p>
        </w:tc>
      </w:tr>
      <w:tr>
        <w:trPr>
          <w:trHeight w:val="250"/>
        </w:trPr>
        <w:tc>
          <w:tcPr>
            <w:tcW w:w="7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4,990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4,573</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220" w:type="dxa"/>
            <w:vAlign w:val="bottom"/>
          </w:tcPr>
          <w:p>
            <w:pPr>
              <w:spacing w:after="0"/>
              <w:rPr>
                <w:sz w:val="21"/>
                <w:szCs w:val="21"/>
                <w:color w:val="auto"/>
              </w:rPr>
            </w:pP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2,048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73"/>
              <w:spacing w:after="0"/>
              <w:rPr>
                <w:sz w:val="20"/>
                <w:szCs w:val="20"/>
                <w:color w:val="auto"/>
              </w:rPr>
            </w:pPr>
            <w:r>
              <w:rPr>
                <w:rFonts w:ascii="Arial" w:cs="Arial" w:eastAsia="Arial" w:hAnsi="Arial"/>
                <w:sz w:val="18"/>
                <w:szCs w:val="18"/>
                <w:color w:val="auto"/>
              </w:rPr>
              <w:t>1,919</w:t>
            </w: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88"/>
        </w:trPr>
        <w:tc>
          <w:tcPr>
            <w:tcW w:w="7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7,038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6,492</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84"/>
        </w:trPr>
        <w:tc>
          <w:tcPr>
            <w:tcW w:w="79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5,352</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73"/>
              <w:spacing w:after="0"/>
              <w:rPr>
                <w:sz w:val="20"/>
                <w:szCs w:val="20"/>
                <w:color w:val="auto"/>
              </w:rPr>
            </w:pPr>
            <w:r>
              <w:rPr>
                <w:rFonts w:ascii="Arial" w:cs="Arial" w:eastAsia="Arial" w:hAnsi="Arial"/>
                <w:sz w:val="18"/>
                <w:szCs w:val="18"/>
                <w:color w:val="auto"/>
              </w:rPr>
              <w:t>4,916</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2,240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2,149</w:t>
            </w:r>
          </w:p>
        </w:tc>
      </w:tr>
      <w:tr>
        <w:trPr>
          <w:trHeight w:val="264"/>
        </w:trPr>
        <w:tc>
          <w:tcPr>
            <w:tcW w:w="790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7,592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7,065</w:t>
            </w: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Guarantees</w:t>
      </w:r>
    </w:p>
    <w:p>
      <w:pPr>
        <w:spacing w:after="0" w:line="121" w:lineRule="exact"/>
        <w:rPr>
          <w:sz w:val="20"/>
          <w:szCs w:val="20"/>
          <w:color w:val="auto"/>
        </w:rPr>
      </w:pPr>
    </w:p>
    <w:p>
      <w:pPr>
        <w:ind w:right="80" w:firstLine="445"/>
        <w:spacing w:after="0" w:line="263" w:lineRule="auto"/>
        <w:rPr>
          <w:sz w:val="20"/>
          <w:szCs w:val="20"/>
          <w:color w:val="auto"/>
        </w:rPr>
      </w:pPr>
      <w:r>
        <w:rPr>
          <w:rFonts w:ascii="Arial" w:cs="Arial" w:eastAsia="Arial" w:hAnsi="Arial"/>
          <w:sz w:val="18"/>
          <w:szCs w:val="18"/>
          <w:color w:val="auto"/>
        </w:rPr>
        <w:t>We extend a variety of financial, market value and product performance guarantees to third parties. There have been no material changes to financial guarantees outstanding since December 31, 2019. The changes in the carrying amount of service and product warranties and product performance guarantees for the quarters ended March 31, 2020 and 2019 are as follows: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r>
      <w:tr>
        <w:trPr>
          <w:trHeight w:val="250"/>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January 1</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1,548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1,449</w:t>
            </w:r>
          </w:p>
        </w:tc>
      </w:tr>
      <w:tr>
        <w:trPr>
          <w:trHeight w:val="243"/>
        </w:trPr>
        <w:tc>
          <w:tcPr>
            <w:tcW w:w="8660" w:type="dxa"/>
            <w:vAlign w:val="bottom"/>
          </w:tcPr>
          <w:p>
            <w:pPr>
              <w:ind w:left="20"/>
              <w:spacing w:after="0"/>
              <w:rPr>
                <w:sz w:val="20"/>
                <w:szCs w:val="20"/>
                <w:color w:val="auto"/>
              </w:rPr>
            </w:pPr>
            <w:r>
              <w:rPr>
                <w:rFonts w:ascii="Arial" w:cs="Arial" w:eastAsia="Arial" w:hAnsi="Arial"/>
                <w:sz w:val="18"/>
                <w:szCs w:val="18"/>
                <w:color w:val="auto"/>
              </w:rPr>
              <w:t>Warranties and performance guarantees issued</w:t>
            </w:r>
          </w:p>
        </w:tc>
        <w:tc>
          <w:tcPr>
            <w:tcW w:w="30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137</w:t>
            </w:r>
          </w:p>
        </w:tc>
      </w:tr>
      <w:tr>
        <w:trPr>
          <w:trHeight w:val="27"/>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Settlements made</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w:t>
            </w:r>
          </w:p>
        </w:tc>
      </w:tr>
      <w:tr>
        <w:trPr>
          <w:trHeight w:val="243"/>
        </w:trPr>
        <w:tc>
          <w:tcPr>
            <w:tcW w:w="8660" w:type="dxa"/>
            <w:vAlign w:val="bottom"/>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9</w:t>
            </w:r>
          </w:p>
        </w:tc>
      </w:tr>
      <w:tr>
        <w:trPr>
          <w:trHeight w:val="27"/>
        </w:trPr>
        <w:tc>
          <w:tcPr>
            <w:tcW w:w="8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8"/>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1,536</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1,485</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Contingent Liabilities</w:t>
      </w:r>
    </w:p>
    <w:p>
      <w:pPr>
        <w:spacing w:after="0" w:line="121" w:lineRule="exact"/>
        <w:rPr>
          <w:sz w:val="20"/>
          <w:szCs w:val="20"/>
          <w:color w:val="auto"/>
        </w:rPr>
      </w:pPr>
    </w:p>
    <w:p>
      <w:pPr>
        <w:ind w:right="40" w:firstLine="405"/>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Summarized below are the matters previously described in Note 18 of the Notes to the Consolidated Financial Statements in our 2019 Annual Report, incorporated by reference in our 2019 </w:t>
      </w:r>
      <w:hyperlink r:id="rId62">
        <w:r>
          <w:rPr>
            <w:rFonts w:ascii="Arial" w:cs="Arial" w:eastAsia="Arial" w:hAnsi="Arial"/>
            <w:sz w:val="18"/>
            <w:szCs w:val="18"/>
            <w:u w:val="single" w:color="auto"/>
            <w:color w:val="0000FF"/>
          </w:rPr>
          <w:t>Form 10-K</w:t>
        </w:r>
      </w:hyperlink>
      <w:r>
        <w:rPr>
          <w:rFonts w:ascii="Arial" w:cs="Arial" w:eastAsia="Arial" w:hAnsi="Arial"/>
          <w:sz w:val="18"/>
          <w:szCs w:val="18"/>
          <w:color w:val="auto"/>
        </w:rPr>
        <w:t>, updated as applicable.</w:t>
      </w:r>
    </w:p>
    <w:p>
      <w:pPr>
        <w:spacing w:after="0" w:line="62" w:lineRule="exact"/>
        <w:rPr>
          <w:sz w:val="20"/>
          <w:szCs w:val="20"/>
          <w:color w:val="auto"/>
        </w:rPr>
      </w:pPr>
    </w:p>
    <w:p>
      <w:pPr>
        <w:ind w:right="240" w:firstLine="445"/>
        <w:spacing w:after="0" w:line="263" w:lineRule="auto"/>
        <w:rPr>
          <w:sz w:val="20"/>
          <w:szCs w:val="20"/>
          <w:color w:val="auto"/>
        </w:rPr>
      </w:pPr>
      <w:r>
        <w:rPr>
          <w:rFonts w:ascii="Arial" w:cs="Arial" w:eastAsia="Arial" w:hAnsi="Arial"/>
          <w:sz w:val="18"/>
          <w:szCs w:val="18"/>
          <w:color w:val="auto"/>
        </w:rPr>
        <w:t>Except as otherwise noted, while we are unable to predict the final outcome, based on information currently available, we do not believe that resolution of any of the following matters will have a material adverse effect upon our competitive position, results of operations, cash flows or financial condition.</w:t>
      </w:r>
    </w:p>
    <w:p>
      <w:pPr>
        <w:spacing w:after="0" w:line="7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b w:val="1"/>
          <w:bCs w:val="1"/>
          <w:color w:val="auto"/>
        </w:rPr>
        <w:t xml:space="preserve">Environmental. </w:t>
      </w:r>
      <w:r>
        <w:rPr>
          <w:rFonts w:ascii="Arial" w:cs="Arial" w:eastAsia="Arial" w:hAnsi="Arial"/>
          <w:sz w:val="16"/>
          <w:szCs w:val="16"/>
          <w:color w:val="auto"/>
        </w:rPr>
        <w:t>Our operations are subject to environmental regulation by federal, state and local authorities in the United States and authorities with</w:t>
      </w:r>
      <w:r>
        <w:rPr>
          <w:rFonts w:ascii="Arial" w:cs="Arial" w:eastAsia="Arial" w:hAnsi="Arial"/>
          <w:sz w:val="16"/>
          <w:szCs w:val="16"/>
          <w:b w:val="1"/>
          <w:bCs w:val="1"/>
          <w:color w:val="auto"/>
        </w:rPr>
        <w:t xml:space="preserve"> </w:t>
      </w:r>
      <w:r>
        <w:rPr>
          <w:rFonts w:ascii="Arial" w:cs="Arial" w:eastAsia="Arial" w:hAnsi="Arial"/>
          <w:sz w:val="16"/>
          <w:szCs w:val="16"/>
          <w:color w:val="auto"/>
        </w:rPr>
        <w:t>jurisdiction over our foreign operations. As described in Note 1 to the Consolidated Financial Statements in our 2019 Annual Report, we have accrued for the costs of environmental remediation activities, including but not limited to investigatory, remediation, operating and maintenance costs and performance guarantees, and periodically reassess these amounts. We believe that the likelihood of incurring losses materially in excess of amounts accrued is remote. Additional information pertaining to environmental matters is included in Note 1 to the Consolidated Financial Statements in our 2019 Annual Report.</w:t>
      </w:r>
    </w:p>
    <w:p>
      <w:pPr>
        <w:spacing w:after="0" w:line="4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b w:val="1"/>
          <w:bCs w:val="1"/>
          <w:color w:val="auto"/>
        </w:rPr>
        <w:t xml:space="preserve">Government. </w:t>
      </w:r>
      <w:r>
        <w:rPr>
          <w:rFonts w:ascii="Arial" w:cs="Arial" w:eastAsia="Arial" w:hAnsi="Arial"/>
          <w:sz w:val="17"/>
          <w:szCs w:val="17"/>
          <w:color w:val="auto"/>
        </w:rPr>
        <w:t>In the ordinary course of business, the Company and its subsidiaries and our properties are subject to regulatory and governmental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examinations, information gathering requests, inquiries, investigations and threatened legal actions and proceedings. For example, we are now, and believe that, in light of the current U.S. Government contracting environment, we will continue to be the subject of one or more U.S. Government investigations. Our contracts with the U.S. Government are also subject to audits. </w:t>
      </w:r>
      <w:r>
        <w:rPr>
          <w:rFonts w:ascii="Arial" w:cs="Arial" w:eastAsia="Arial" w:hAnsi="Arial"/>
          <w:sz w:val="17"/>
          <w:szCs w:val="17"/>
          <w:color w:val="212529"/>
        </w:rPr>
        <w:t>Agencies that oversee contract performance include: the Defense Contract Audit Agency</w:t>
      </w:r>
      <w:r>
        <w:rPr>
          <w:rFonts w:ascii="Arial" w:cs="Arial" w:eastAsia="Arial" w:hAnsi="Arial"/>
          <w:sz w:val="17"/>
          <w:szCs w:val="17"/>
          <w:color w:val="auto"/>
        </w:rPr>
        <w:t xml:space="preserve"> </w:t>
      </w:r>
      <w:r>
        <w:rPr>
          <w:rFonts w:ascii="Arial" w:cs="Arial" w:eastAsia="Arial" w:hAnsi="Arial"/>
          <w:sz w:val="17"/>
          <w:szCs w:val="17"/>
          <w:color w:val="212529"/>
        </w:rPr>
        <w:t xml:space="preserve">(“DCAA”); the Defense Contract Management Agency (“DCMA”); the Inspectors General of the U.S. Department of Defense (“DoD”) and other departments and agencies; the Government Accountability Office (“GAO”); the Department of Justice (“DOJ”); and Congressional Committees. Other areas of our business operations may also be subject to audit and investigation by these and other agencies. From time to time, agencies investigate or conduct audits to determine whether our operations are being conducted in accordance with applicable requirements. Such investigations and audits may be initiated due to a number of reasons, including as a result of a whistleblower complaint. Such investigations and audits could result in administrative, civil or criminal liabilities, including repayments, fines, treble or other damages, forfeitures, restitution, or penalties being imposed upon us, the suspension of government export licenses or the suspension or debarment from future U.S. government contracting. U.S. government investigations often take years to complete and many may result in no adverse action against us. </w:t>
      </w:r>
      <w:r>
        <w:rPr>
          <w:rFonts w:ascii="Arial" w:cs="Arial" w:eastAsia="Arial" w:hAnsi="Arial"/>
          <w:sz w:val="17"/>
          <w:szCs w:val="17"/>
          <w:color w:val="000000"/>
        </w:rPr>
        <w:t>The U.S. Government also reserves the right to debar a contractor from receiving new</w:t>
      </w:r>
      <w:r>
        <w:rPr>
          <w:rFonts w:ascii="Arial" w:cs="Arial" w:eastAsia="Arial" w:hAnsi="Arial"/>
          <w:sz w:val="17"/>
          <w:szCs w:val="17"/>
          <w:color w:val="212529"/>
        </w:rPr>
        <w:t xml:space="preserve"> </w:t>
      </w:r>
      <w:r>
        <w:rPr>
          <w:rFonts w:ascii="Arial" w:cs="Arial" w:eastAsia="Arial" w:hAnsi="Arial"/>
          <w:sz w:val="17"/>
          <w:szCs w:val="17"/>
          <w:color w:val="000000"/>
        </w:rPr>
        <w:t>government contracts for fraudulent, criminal or other seriously improper conduct. The U.S. Government could void any contracts found to be tainted by fraud. Like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line="286" w:lineRule="auto"/>
        <w:rPr>
          <w:sz w:val="20"/>
          <w:szCs w:val="20"/>
          <w:color w:val="auto"/>
        </w:rPr>
      </w:pPr>
      <w:r>
        <w:rPr>
          <w:rFonts w:ascii="Arial" w:cs="Arial" w:eastAsia="Arial" w:hAnsi="Arial"/>
          <w:sz w:val="16"/>
          <w:szCs w:val="16"/>
          <w:color w:val="auto"/>
        </w:rPr>
        <w:t xml:space="preserve">many defense contractors, we have received audit reports recommending the reduction of certain contract prices because, for example, cost or pricing data or cost accounting practices used to price and negotiate those contracts may not have conformed to government regulations. Some of these audit reports recommend that certain payments be repaid, delayed, or withheld, and may involve substantial amounts. We have made voluntary refunds in those cases we believe appropriate, have settled some allegations and, in some cases, continue to negotiate and/or litigate. The Company may be, and has been, required to make payments into escrow of disputed liabilities while the related litigation is pending. If the litigation is resolved in the Company’s favor, any such payments will be returned to the Company with interest. </w:t>
      </w:r>
      <w:r>
        <w:rPr>
          <w:rFonts w:ascii="Arial" w:cs="Arial" w:eastAsia="Arial" w:hAnsi="Arial"/>
          <w:sz w:val="16"/>
          <w:szCs w:val="16"/>
          <w:color w:val="212529"/>
        </w:rPr>
        <w:t>Our final allowable incurred costs for each year are also subject to audit and have, from time to</w:t>
      </w:r>
      <w:r>
        <w:rPr>
          <w:rFonts w:ascii="Arial" w:cs="Arial" w:eastAsia="Arial" w:hAnsi="Arial"/>
          <w:sz w:val="16"/>
          <w:szCs w:val="16"/>
          <w:color w:val="auto"/>
        </w:rPr>
        <w:t xml:space="preserve"> </w:t>
      </w:r>
      <w:r>
        <w:rPr>
          <w:rFonts w:ascii="Arial" w:cs="Arial" w:eastAsia="Arial" w:hAnsi="Arial"/>
          <w:sz w:val="16"/>
          <w:szCs w:val="16"/>
          <w:color w:val="212529"/>
        </w:rPr>
        <w:t xml:space="preserve">time, resulted in disputes between us and the U.S. government, with litigation resulting at the Court of Federal Claims (“COFC”) or the Armed Services Board of Contract Appeals (“ASBCA”) or their related courts of appeals. In addition, the DOJ has, from time to time, convened grand juries to investigate possible irregularities by us. We also provide products and services to customers outside of the U.S., and those sales are subject to local government laws, regulations and procurement policies and practices. Our compliance with such local government regulations or any applicable U.S. government regulations (e.g., the Foreign Corrupt Practices Act (“FCPA”) and International Traffic in Arms Regulations (“ITAR”)) may also be investigated or audited. </w:t>
      </w:r>
      <w:r>
        <w:rPr>
          <w:rFonts w:ascii="Arial" w:cs="Arial" w:eastAsia="Arial" w:hAnsi="Arial"/>
          <w:sz w:val="16"/>
          <w:szCs w:val="16"/>
          <w:color w:val="000000"/>
        </w:rPr>
        <w:t>In addition,</w:t>
      </w:r>
      <w:r>
        <w:rPr>
          <w:rFonts w:ascii="Arial" w:cs="Arial" w:eastAsia="Arial" w:hAnsi="Arial"/>
          <w:sz w:val="16"/>
          <w:szCs w:val="16"/>
          <w:color w:val="212529"/>
        </w:rPr>
        <w:t xml:space="preserve"> </w:t>
      </w:r>
      <w:r>
        <w:rPr>
          <w:rFonts w:ascii="Arial" w:cs="Arial" w:eastAsia="Arial" w:hAnsi="Arial"/>
          <w:sz w:val="16"/>
          <w:szCs w:val="16"/>
          <w:color w:val="000000"/>
        </w:rPr>
        <w:t xml:space="preserve">we accrue for liabilities associated with those matters that are probable and can be reasonably estimated. The most likely settlement amount to be incurred is accrued based upon a range of estimates. Where no amount within a range of estimates is more likely, then we accrue the minimum amount. </w:t>
      </w:r>
      <w:r>
        <w:rPr>
          <w:rFonts w:ascii="Arial" w:cs="Arial" w:eastAsia="Arial" w:hAnsi="Arial"/>
          <w:sz w:val="16"/>
          <w:szCs w:val="16"/>
          <w:color w:val="212529"/>
        </w:rPr>
        <w:t>Other than</w:t>
      </w:r>
      <w:r>
        <w:rPr>
          <w:rFonts w:ascii="Arial" w:cs="Arial" w:eastAsia="Arial" w:hAnsi="Arial"/>
          <w:sz w:val="16"/>
          <w:szCs w:val="16"/>
          <w:color w:val="000000"/>
        </w:rPr>
        <w:t xml:space="preserve"> </w:t>
      </w:r>
      <w:r>
        <w:rPr>
          <w:rFonts w:ascii="Arial" w:cs="Arial" w:eastAsia="Arial" w:hAnsi="Arial"/>
          <w:sz w:val="16"/>
          <w:szCs w:val="16"/>
          <w:color w:val="212529"/>
        </w:rPr>
        <w:t>as specifically disclosed in this Form 10-Q, we do not expect these audits, investigations or disputes to have a material effect on our financial position, results of operations or liquidity, either individually or in the aggregate.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4" w:lineRule="exact"/>
        <w:rPr>
          <w:sz w:val="20"/>
          <w:szCs w:val="20"/>
          <w:color w:val="auto"/>
        </w:rPr>
      </w:pPr>
    </w:p>
    <w:p>
      <w:pPr>
        <w:ind w:right="2220"/>
        <w:spacing w:after="0" w:line="227" w:lineRule="auto"/>
        <w:rPr>
          <w:sz w:val="20"/>
          <w:szCs w:val="20"/>
          <w:color w:val="auto"/>
        </w:rPr>
      </w:pPr>
      <w:r>
        <w:rPr>
          <w:rFonts w:ascii="Arial" w:cs="Arial" w:eastAsia="Arial" w:hAnsi="Arial"/>
          <w:sz w:val="18"/>
          <w:szCs w:val="18"/>
          <w:color w:val="212529"/>
        </w:rPr>
        <w:t>The Company and its subsidiaries are subject to various litigation matters across jurisdictions, updates to certain of which are set forth below.</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Accounting Standards Claims</w:t>
      </w:r>
    </w:p>
    <w:p>
      <w:pPr>
        <w:spacing w:after="0" w:line="117" w:lineRule="exact"/>
        <w:rPr>
          <w:sz w:val="20"/>
          <w:szCs w:val="20"/>
          <w:color w:val="auto"/>
        </w:rPr>
      </w:pPr>
    </w:p>
    <w:p>
      <w:pPr>
        <w:ind w:right="340" w:firstLine="405"/>
        <w:spacing w:after="0" w:line="296" w:lineRule="auto"/>
        <w:rPr>
          <w:sz w:val="20"/>
          <w:szCs w:val="20"/>
          <w:color w:val="auto"/>
        </w:rPr>
      </w:pPr>
      <w:r>
        <w:rPr>
          <w:rFonts w:ascii="Arial" w:cs="Arial" w:eastAsia="Arial" w:hAnsi="Arial"/>
          <w:sz w:val="16"/>
          <w:szCs w:val="16"/>
          <w:color w:val="auto"/>
        </w:rPr>
        <w:t>As previously disclosed, in April 2019, a Divisional Administrative Contracting Officer (“DACO”) of the United States Defense Contract Management Agency (“DCMA”) asserted a claim against Pratt &amp; Whitney to recover overpayments of approximately $1.73 billion plus interest (approximately $592 million through March 31, 2020). The claim is based on Pratt &amp; Whitney's alleged noncompliance with cost accounting standards from January 1, 2007 to March 31, 2019, due to its method of allocating independent research and development costs to government contracts. Pratt &amp; Whitney believes that the claim is without merit and filed an appeal to the Armed Services Board of Contract Appeals (“ASBCA”) on June 7, 2019.</w:t>
      </w:r>
    </w:p>
    <w:p>
      <w:pPr>
        <w:spacing w:after="0" w:line="188" w:lineRule="exact"/>
        <w:rPr>
          <w:sz w:val="20"/>
          <w:szCs w:val="20"/>
          <w:color w:val="auto"/>
        </w:rPr>
      </w:pPr>
    </w:p>
    <w:p>
      <w:pPr>
        <w:ind w:right="20" w:firstLine="405"/>
        <w:spacing w:after="0" w:line="253" w:lineRule="auto"/>
        <w:rPr>
          <w:sz w:val="20"/>
          <w:szCs w:val="20"/>
          <w:color w:val="auto"/>
        </w:rPr>
      </w:pPr>
      <w:r>
        <w:rPr>
          <w:rFonts w:ascii="Arial" w:cs="Arial" w:eastAsia="Arial" w:hAnsi="Arial"/>
          <w:sz w:val="17"/>
          <w:szCs w:val="17"/>
          <w:color w:val="auto"/>
        </w:rPr>
        <w:t>As previously disclosed, in December 2013, a DCMA DACO asserted a claim against Pratt &amp; Whitney to recover overpayments of approximately $177 million plus interest (approximately $101.8 million through March 31, 2020). The claim is based on Pratt &amp; Whitney's alleged noncompliance with cost accounting standards from January 1, 2005 to December 31, 2012, due to its method of determining the cost of collaborator parts used in the calculation of material overhead costs for government contracts. In 2014, Pratt &amp; Whitney filed an appeal to the ASBCA. An evidentiary hearing was held and completed in June 2019. The parties concluded post-hearing briefing in January 2020,and now await a decision from the ASBCA. We continue to believe that the claim is without merit. In December 2018, a DCMA DACO issued a second claim against Pratt &amp; Whitney that similarly alleges that its method of determining the cost of collaborator parts does not comply with the cost accounting standards for calendar years 2013 through 2017. This second claim demands payment of $269 million plus interest (approximately $60 million through March 31, 2020), which we also believe is without merit and which Pratt &amp; Whitney appealed to the ASBCA in January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German Tax Litigation</w:t>
      </w:r>
    </w:p>
    <w:p>
      <w:pPr>
        <w:spacing w:after="0" w:line="104"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As previously disclosed, Raytheon Technologies has been involved in administrative review proceedings with the German Tax Office, which concern approximately €215 million (approximately $237 million) of tax benefits that we have claimed related to a 1998 reorganization of the corporate structure of Otis operations in Germany. Upon audit, these tax benefits were disallowed by the German Tax Office. Raytheon Technologies estimates interest associated with the aforementioned tax benefits is an additional approximately €118 million (approximately $130 million). On August 3, 2012, we filed suit in the local German Tax Court (Berlin-Brandenburg). In March 2016, the local German Tax Court dismissed our suit, and we appealed this decision to the German Federal Tax Court (FTC). Following a hearing in July 2018, the FTC remanded the matter to the local German Tax Court for further proceedings. In 2015, Raytheon Technologies made tax and interest payments to German tax authorities of €275 million (approximately $300 million) in order to avoid additional interest accruals pending final resolution of this matter. These proceedings concern Raytheon Technologies' Otis business, which, as previously disclosed, separated from UTC on April 3, 2020 to form Otis Worldwide Corporation (Otis). The liability underlying these proceedings remained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9" w:name="page30"/>
    <w:bookmarkEnd w:id="29"/>
    <w:p>
      <w:pPr>
        <w:ind w:right="140"/>
        <w:spacing w:after="0" w:line="277" w:lineRule="auto"/>
        <w:rPr>
          <w:sz w:val="20"/>
          <w:szCs w:val="20"/>
          <w:color w:val="auto"/>
        </w:rPr>
      </w:pPr>
      <w:r>
        <w:rPr>
          <w:rFonts w:ascii="Arial" w:cs="Arial" w:eastAsia="Arial" w:hAnsi="Arial"/>
          <w:sz w:val="18"/>
          <w:szCs w:val="18"/>
          <w:color w:val="auto"/>
        </w:rPr>
        <w:t>with Otis in connection with the Separation Transactions and the Distributions and is disclosed in its registration statement on Form 10 filed with the SEC on March 11,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Asbestos Matters</w:t>
      </w:r>
    </w:p>
    <w:p>
      <w:pPr>
        <w:spacing w:after="0" w:line="117"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As previously disclosed, like many other industrial companies, we and our subsidiaries have been named as defendants in lawsuits alleging personal injury as a result of exposure to asbestos integrated into certain of our products or business premises. While we have never manufactured asbestos and no longer incorporate it in any currently-manufactured products, certain of our historical products, like those of many other manufacturers, have contained components incorporating asbestos. A substantial majority of these asbestos-related claims have been dismissed without payment or were covered in full or in part by insurance or other forms of indemnity. Additional cases were litigated and settled without any insurance reimbursement. The amounts involved in asbestos related claims were not material individually or in the aggregate in any year.</w:t>
      </w:r>
    </w:p>
    <w:p>
      <w:pPr>
        <w:spacing w:after="0" w:line="70" w:lineRule="exact"/>
        <w:rPr>
          <w:sz w:val="20"/>
          <w:szCs w:val="20"/>
          <w:color w:val="auto"/>
        </w:rPr>
      </w:pPr>
    </w:p>
    <w:p>
      <w:pPr>
        <w:ind w:right="100" w:firstLine="405"/>
        <w:spacing w:after="0" w:line="271" w:lineRule="auto"/>
        <w:rPr>
          <w:sz w:val="20"/>
          <w:szCs w:val="20"/>
          <w:color w:val="auto"/>
        </w:rPr>
      </w:pPr>
      <w:r>
        <w:rPr>
          <w:rFonts w:ascii="Arial" w:cs="Arial" w:eastAsia="Arial" w:hAnsi="Arial"/>
          <w:sz w:val="17"/>
          <w:szCs w:val="17"/>
          <w:color w:val="auto"/>
        </w:rPr>
        <w:t>The amounts recorded by the Company for asbestos-related liabilities are based on currently available information and assumptions that we believe are reasonable and are made with input from outside actuarial experts. The estimated range of total liabilities to resolve all pending and unasserted potential future asbestos claims through 2059 is approximately $325 million to $390 million. Where no amount within a range of estimates is more likely, the minimum is accrued. We have recorded the minimum amount of $325 million, which is principally recorded in Other long-term liabilities on our Condensed Consolidated Balance Sheet as of March 31, 2020. This amount is on a pre-tax basis, not discounted, and excludes the Company’s legal fees to defend the asbestos claims, which will continue to be expensed by the Company as they are incurred. In addition, the Company has an insurance recovery receivable for probable asbestos related recoveries of approximately $140 million, which is included primarily in Other assets on our Condensed Consolidated Balance Sheet as of March 31, 2020.</w:t>
      </w:r>
    </w:p>
    <w:p>
      <w:pPr>
        <w:spacing w:after="0" w:line="70" w:lineRule="exact"/>
        <w:rPr>
          <w:sz w:val="20"/>
          <w:szCs w:val="20"/>
          <w:color w:val="auto"/>
        </w:rPr>
      </w:pPr>
    </w:p>
    <w:p>
      <w:pPr>
        <w:ind w:right="100" w:firstLine="405"/>
        <w:spacing w:after="0" w:line="273" w:lineRule="auto"/>
        <w:rPr>
          <w:sz w:val="20"/>
          <w:szCs w:val="20"/>
          <w:color w:val="auto"/>
        </w:rPr>
      </w:pPr>
      <w:r>
        <w:rPr>
          <w:rFonts w:ascii="Arial" w:cs="Arial" w:eastAsia="Arial" w:hAnsi="Arial"/>
          <w:sz w:val="16"/>
          <w:szCs w:val="16"/>
          <w:color w:val="auto"/>
        </w:rPr>
        <w:t>A portion of these lawsuits and liabilities concerned Raytheon Technologies’ Otis and Carrier businesses, each of which, as previously disclosed, separated from UTC on April 3, 2020 to form Otis and Carrier Global Corporation (Carrier), respectively, and the respective liabilities remained with each new company. As disclosed in Carrier’s registration statement on Form 10 filed with the SEC on March 11, 2020, the estimated range of total liabilities to resolve all pending and unasserted potential future asbestos claims through 2059 made against Carrier and its subsidiaries and affiliates is $255 million to</w:t>
      </w:r>
    </w:p>
    <w:p>
      <w:pPr>
        <w:spacing w:after="0" w:line="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$290 million. As disclosed in Otis’s registration statement on Form 10, the estimated range of total liabilities to resolve all pending and unasserted potential future asbestos claims through 2059 made against Otis and its subsidiaries and affiliates is $24 million to $45 million. After excluding all pending and unasserted potential future asbestos claims through 2059 against Carrier and Otis, we do not expect that the range of total net liabilities (estimated total liabilities minus insurance recovery receivable) for pending and unasserted potential future asbestos claims through 2059 against Raytheon Technologies, including its subsidiaries and affiliates, will have a material adverse effect on our financial position, results of operations or cash flows.</w:t>
      </w:r>
    </w:p>
    <w:p>
      <w:pPr>
        <w:spacing w:after="0" w:line="174"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The amounts recorded by the Company for asbestos-related liabilities and insurance recoveries are based on currently available information and assumptions that we believe are reasonable. Our actual liabilities or insurance recoveries could be higher or lower than those recorded if actual results vary significantly from the assumptions. Key variables in these assumptions include the number and type of new claims to be filed each year, the outcomes or resolution of such claims, the average cost of resolution of each new claim, the amount of insurance available, the allocation methodologies, the contractual terms with each insurer with whom we have reached settlements, the resolution of coverage issues with other excess insurance carriers with whom we have not yet achieved settlements, and the solvency risk with respect to our insurance carriers. Other factors that may affect our future liability include uncertainties surrounding the litigation process from jurisdiction to jurisdiction and from case to case, legal rulings that may be made by state and federal courts, and the passage of state or federal legislation. At the end of each year, the Company will evaluate all of these factors and, with input from an outside actuarial expert, make any necessary adjustments to both our estimated asbestos liabilities and insurance recoveries.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right="60" w:firstLine="405"/>
        <w:spacing w:after="0" w:line="311" w:lineRule="auto"/>
        <w:rPr>
          <w:sz w:val="20"/>
          <w:szCs w:val="20"/>
          <w:color w:val="auto"/>
        </w:rPr>
      </w:pPr>
      <w:r>
        <w:rPr>
          <w:rFonts w:ascii="Arial" w:cs="Arial" w:eastAsia="Arial" w:hAnsi="Arial"/>
          <w:sz w:val="16"/>
          <w:szCs w:val="16"/>
          <w:color w:val="auto"/>
        </w:rPr>
        <w:t>As described in Note 15 of this Form 10-Q and Note 17 to the Consolidated Financial Statements in our 2019 Annual Report, we extend performance and operating cost guarantees beyond our normal warranty and service policies for extended periods on some of our products. We have accrued our estimate of the liability that may result under these guarantees and for service costs that are probable and can be reasonably estimated.</w:t>
      </w:r>
    </w:p>
    <w:p>
      <w:pPr>
        <w:spacing w:after="0" w:line="41"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We also have other commitments and contingent liabilities related to legal proceedings, self-insurance programs and matters arising out of the normal course of business. We accrue contingencies based upon a range of possible outcomes. If no amount within this range is a better estimate than any other, then we accrue the minimum amount.</w:t>
      </w:r>
    </w:p>
    <w:p>
      <w:pPr>
        <w:spacing w:after="0" w:line="76" w:lineRule="exact"/>
        <w:rPr>
          <w:sz w:val="20"/>
          <w:szCs w:val="20"/>
          <w:color w:val="auto"/>
        </w:rPr>
      </w:pPr>
    </w:p>
    <w:p>
      <w:pPr>
        <w:jc w:val="both"/>
        <w:ind w:right="120" w:firstLine="405"/>
        <w:spacing w:after="0" w:line="263" w:lineRule="auto"/>
        <w:rPr>
          <w:sz w:val="20"/>
          <w:szCs w:val="20"/>
          <w:color w:val="auto"/>
        </w:rPr>
      </w:pPr>
      <w:r>
        <w:rPr>
          <w:rFonts w:ascii="Arial" w:cs="Arial" w:eastAsia="Arial" w:hAnsi="Arial"/>
          <w:sz w:val="18"/>
          <w:szCs w:val="18"/>
          <w:color w:val="auto"/>
        </w:rPr>
        <w:t>In the ordinary course of business, the Company and its subsidiaries are also routinely defendants in, parties to or otherwise subject to many pending and threatened legal actions, claims, disputes and proceedings. These matters are often based on alleged violations of contract, product liability, warranty, regulatory, environmental, health and safety, employment,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0" w:name="page31"/>
    <w:bookmarkEnd w:id="30"/>
    <w:p>
      <w:pPr>
        <w:ind w:right="120"/>
        <w:spacing w:after="0" w:line="263" w:lineRule="auto"/>
        <w:rPr>
          <w:sz w:val="20"/>
          <w:szCs w:val="20"/>
          <w:color w:val="auto"/>
        </w:rPr>
      </w:pPr>
      <w:r>
        <w:rPr>
          <w:rFonts w:ascii="Arial" w:cs="Arial" w:eastAsia="Arial" w:hAnsi="Arial"/>
          <w:sz w:val="18"/>
          <w:szCs w:val="18"/>
          <w:color w:val="auto"/>
        </w:rPr>
        <w:t>intellectual property, tax and other laws. In some instances, claims for substantial monetary damages are asserted against the Company and its subsidiaries and could result in fines, penalties, compensatory or treble damages or non-monetary relief. We do not believe that these matters will have a material adverse effect upon our competitive position, results of operations, cash flows or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Segment Financial Data</w:t>
      </w:r>
    </w:p>
    <w:p>
      <w:pPr>
        <w:spacing w:after="0" w:line="121" w:lineRule="exact"/>
        <w:rPr>
          <w:sz w:val="20"/>
          <w:szCs w:val="20"/>
          <w:color w:val="auto"/>
        </w:rPr>
      </w:pPr>
    </w:p>
    <w:p>
      <w:pPr>
        <w:ind w:right="320" w:firstLine="445"/>
        <w:spacing w:after="0" w:line="311" w:lineRule="auto"/>
        <w:rPr>
          <w:sz w:val="20"/>
          <w:szCs w:val="20"/>
          <w:color w:val="auto"/>
        </w:rPr>
      </w:pPr>
      <w:r>
        <w:rPr>
          <w:rFonts w:ascii="Arial" w:cs="Arial" w:eastAsia="Arial" w:hAnsi="Arial"/>
          <w:sz w:val="16"/>
          <w:szCs w:val="16"/>
          <w:color w:val="auto"/>
        </w:rPr>
        <w:t>Our operations prior to the Raytheon Merger, the Separation Transactions and the Distributions are classified into four principal segments: Otis, Carrier, Pratt &amp; Whitney, and Collins Aerospace Systems. The segments are generally based on the management structure of the businesses and the grouping of similar operating companies, where each management organization has general operating autonomy over diversified products and services.</w:t>
      </w:r>
    </w:p>
    <w:p>
      <w:pPr>
        <w:spacing w:after="0" w:line="41" w:lineRule="exact"/>
        <w:rPr>
          <w:sz w:val="20"/>
          <w:szCs w:val="20"/>
          <w:color w:val="auto"/>
        </w:rPr>
      </w:pPr>
    </w:p>
    <w:p>
      <w:pPr>
        <w:ind w:right="60" w:firstLine="445"/>
        <w:spacing w:after="0" w:line="277" w:lineRule="auto"/>
        <w:rPr>
          <w:sz w:val="20"/>
          <w:szCs w:val="20"/>
          <w:color w:val="auto"/>
        </w:rPr>
      </w:pPr>
      <w:r>
        <w:rPr>
          <w:rFonts w:ascii="Arial" w:cs="Arial" w:eastAsia="Arial" w:hAnsi="Arial"/>
          <w:sz w:val="18"/>
          <w:szCs w:val="18"/>
          <w:color w:val="auto"/>
        </w:rPr>
        <w:t>Total sales by segment include inter-segment sales, which are generally made at prices approximating those that the selling entity is able to obtain on external sales. Results for the quarters ended March 31, 2020 and 2019 are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Net Sales</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5"/>
          </w:tcPr>
          <w:p>
            <w:pPr>
              <w:ind w:left="340"/>
              <w:spacing w:after="0"/>
              <w:rPr>
                <w:sz w:val="20"/>
                <w:szCs w:val="20"/>
                <w:color w:val="auto"/>
              </w:rPr>
            </w:pPr>
            <w:r>
              <w:rPr>
                <w:rFonts w:ascii="Arial" w:cs="Arial" w:eastAsia="Arial" w:hAnsi="Arial"/>
                <w:sz w:val="14"/>
                <w:szCs w:val="14"/>
                <w:b w:val="1"/>
                <w:bCs w:val="1"/>
                <w:color w:val="auto"/>
              </w:rPr>
              <w:t>Operating Profits</w:t>
            </w:r>
          </w:p>
        </w:tc>
        <w:tc>
          <w:tcPr>
            <w:tcW w:w="2240" w:type="dxa"/>
            <w:vAlign w:val="bottom"/>
            <w:gridSpan w:val="4"/>
          </w:tcPr>
          <w:p>
            <w:pPr>
              <w:jc w:val="right"/>
              <w:ind w:right="133"/>
              <w:spacing w:after="0"/>
              <w:rPr>
                <w:sz w:val="20"/>
                <w:szCs w:val="20"/>
                <w:color w:val="auto"/>
              </w:rPr>
            </w:pPr>
            <w:r>
              <w:rPr>
                <w:rFonts w:ascii="Arial" w:cs="Arial" w:eastAsia="Arial" w:hAnsi="Arial"/>
                <w:sz w:val="14"/>
                <w:szCs w:val="14"/>
                <w:b w:val="1"/>
                <w:bCs w:val="1"/>
                <w:color w:val="auto"/>
              </w:rPr>
              <w:t>Operating Profit Margins</w:t>
            </w:r>
          </w:p>
        </w:tc>
        <w:tc>
          <w:tcPr>
            <w:tcW w:w="200" w:type="dxa"/>
            <w:vAlign w:val="bottom"/>
          </w:tcPr>
          <w:p>
            <w:pPr>
              <w:spacing w:after="0"/>
              <w:rPr>
                <w:sz w:val="16"/>
                <w:szCs w:val="16"/>
                <w:color w:val="auto"/>
              </w:rPr>
            </w:pPr>
          </w:p>
        </w:tc>
      </w:tr>
      <w:tr>
        <w:trPr>
          <w:trHeight w:val="196"/>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7"/>
                <w:szCs w:val="17"/>
                <w:color w:val="auto"/>
              </w:rPr>
            </w:pPr>
          </w:p>
        </w:tc>
      </w:tr>
      <w:tr>
        <w:trPr>
          <w:trHeight w:val="25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Otis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2,966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3,096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Carrier</w:t>
            </w:r>
          </w:p>
        </w:tc>
        <w:tc>
          <w:tcPr>
            <w:tcW w:w="260" w:type="dxa"/>
            <w:vAlign w:val="bottom"/>
          </w:tcPr>
          <w:p>
            <w:pPr>
              <w:spacing w:after="0"/>
              <w:rPr>
                <w:sz w:val="21"/>
                <w:szCs w:val="21"/>
                <w:color w:val="auto"/>
              </w:rPr>
            </w:pPr>
          </w:p>
        </w:tc>
        <w:tc>
          <w:tcPr>
            <w:tcW w:w="820" w:type="dxa"/>
            <w:vAlign w:val="bottom"/>
          </w:tcPr>
          <w:p>
            <w:pPr>
              <w:jc w:val="right"/>
              <w:ind w:right="74"/>
              <w:spacing w:after="0"/>
              <w:rPr>
                <w:sz w:val="20"/>
                <w:szCs w:val="20"/>
                <w:color w:val="auto"/>
              </w:rPr>
            </w:pPr>
            <w:r>
              <w:rPr>
                <w:rFonts w:ascii="Arial" w:cs="Arial" w:eastAsia="Arial" w:hAnsi="Arial"/>
                <w:sz w:val="18"/>
                <w:szCs w:val="18"/>
                <w:color w:val="auto"/>
              </w:rPr>
              <w:t>3,888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4,323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Pratt &amp; Whitney</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5,351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4,817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Collins Aerospace Systems</w:t>
            </w:r>
          </w:p>
        </w:tc>
        <w:tc>
          <w:tcPr>
            <w:tcW w:w="260" w:type="dxa"/>
            <w:vAlign w:val="bottom"/>
          </w:tcPr>
          <w:p>
            <w:pPr>
              <w:spacing w:after="0"/>
              <w:rPr>
                <w:sz w:val="21"/>
                <w:szCs w:val="21"/>
                <w:color w:val="auto"/>
              </w:rPr>
            </w:pPr>
          </w:p>
        </w:tc>
        <w:tc>
          <w:tcPr>
            <w:tcW w:w="820" w:type="dxa"/>
            <w:vAlign w:val="bottom"/>
          </w:tcPr>
          <w:p>
            <w:pPr>
              <w:jc w:val="right"/>
              <w:ind w:right="74"/>
              <w:spacing w:after="0"/>
              <w:rPr>
                <w:sz w:val="20"/>
                <w:szCs w:val="20"/>
                <w:color w:val="auto"/>
              </w:rPr>
            </w:pPr>
            <w:r>
              <w:rPr>
                <w:rFonts w:ascii="Arial" w:cs="Arial" w:eastAsia="Arial" w:hAnsi="Arial"/>
                <w:sz w:val="18"/>
                <w:szCs w:val="18"/>
                <w:color w:val="auto"/>
              </w:rPr>
              <w:t>6,438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6,513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4"/>
        </w:trPr>
        <w:tc>
          <w:tcPr>
            <w:tcW w:w="4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segments</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18,643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18,749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2,265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2,244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Eliminations and other</w:t>
            </w:r>
          </w:p>
        </w:tc>
        <w:tc>
          <w:tcPr>
            <w:tcW w:w="26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corporate expenses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r>
      <w:tr>
        <w:trPr>
          <w:trHeight w:val="263"/>
        </w:trPr>
        <w:tc>
          <w:tcPr>
            <w:tcW w:w="4060" w:type="dxa"/>
            <w:vAlign w:val="bottom"/>
          </w:tcPr>
          <w:p>
            <w:pPr>
              <w:ind w:left="120"/>
              <w:spacing w:after="0"/>
              <w:rPr>
                <w:sz w:val="20"/>
                <w:szCs w:val="20"/>
                <w:color w:val="auto"/>
              </w:rPr>
            </w:pPr>
            <w:r>
              <w:rPr>
                <w:rFonts w:ascii="Arial" w:cs="Arial" w:eastAsia="Arial" w:hAnsi="Arial"/>
                <w:sz w:val="18"/>
                <w:szCs w:val="18"/>
                <w:color w:val="auto"/>
              </w:rPr>
              <w:t>Consolidated</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18,210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18,365</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1,807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2,045</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4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320" w:firstLine="445"/>
        <w:spacing w:after="0" w:line="277" w:lineRule="auto"/>
        <w:rPr>
          <w:sz w:val="20"/>
          <w:szCs w:val="20"/>
          <w:color w:val="auto"/>
        </w:rPr>
      </w:pPr>
      <w:r>
        <w:rPr>
          <w:rFonts w:ascii="Arial" w:cs="Arial" w:eastAsia="Arial" w:hAnsi="Arial"/>
          <w:sz w:val="18"/>
          <w:szCs w:val="18"/>
          <w:color w:val="auto"/>
        </w:rPr>
        <w:t>Geographic sales are attributed to the geographic regions based on their location of origin. Segment information for the quarters ended March 31, 2020 and 2019 is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vMerge w:val="restart"/>
          </w:tcPr>
          <w:p>
            <w:pPr>
              <w:jc w:val="center"/>
              <w:ind w:right="17"/>
              <w:spacing w:after="0"/>
              <w:rPr>
                <w:sz w:val="20"/>
                <w:szCs w:val="20"/>
                <w:color w:val="auto"/>
              </w:rPr>
            </w:pPr>
            <w:r>
              <w:rPr>
                <w:rFonts w:ascii="Arial" w:cs="Arial" w:eastAsia="Arial" w:hAnsi="Arial"/>
                <w:sz w:val="14"/>
                <w:szCs w:val="14"/>
                <w:b w:val="1"/>
                <w:bCs w:val="1"/>
                <w:color w:val="auto"/>
              </w:rPr>
              <w:t>Pratt &amp;</w:t>
            </w:r>
          </w:p>
        </w:tc>
        <w:tc>
          <w:tcPr>
            <w:tcW w:w="200" w:type="dxa"/>
            <w:vAlign w:val="bottom"/>
          </w:tcPr>
          <w:p>
            <w:pPr>
              <w:spacing w:after="0"/>
              <w:rPr>
                <w:sz w:val="13"/>
                <w:szCs w:val="13"/>
                <w:color w:val="auto"/>
              </w:rPr>
            </w:pPr>
          </w:p>
        </w:tc>
        <w:tc>
          <w:tcPr>
            <w:tcW w:w="780" w:type="dxa"/>
            <w:vAlign w:val="bottom"/>
          </w:tcPr>
          <w:p>
            <w:pPr>
              <w:jc w:val="center"/>
              <w:ind w:right="57"/>
              <w:spacing w:after="0" w:line="153" w:lineRule="exact"/>
              <w:rPr>
                <w:sz w:val="20"/>
                <w:szCs w:val="20"/>
                <w:color w:val="auto"/>
              </w:rPr>
            </w:pPr>
            <w:r>
              <w:rPr>
                <w:rFonts w:ascii="Arial" w:cs="Arial" w:eastAsia="Arial" w:hAnsi="Arial"/>
                <w:sz w:val="14"/>
                <w:szCs w:val="14"/>
                <w:b w:val="1"/>
                <w:bCs w:val="1"/>
                <w:color w:val="auto"/>
                <w:w w:val="94"/>
              </w:rPr>
              <w:t>Collins</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vMerge w:val="restart"/>
          </w:tcPr>
          <w:p>
            <w:pPr>
              <w:jc w:val="center"/>
              <w:ind w:right="17"/>
              <w:spacing w:after="0"/>
              <w:rPr>
                <w:sz w:val="20"/>
                <w:szCs w:val="20"/>
                <w:color w:val="auto"/>
              </w:rPr>
            </w:pPr>
            <w:r>
              <w:rPr>
                <w:rFonts w:ascii="Arial" w:cs="Arial" w:eastAsia="Arial" w:hAnsi="Arial"/>
                <w:sz w:val="14"/>
                <w:szCs w:val="14"/>
                <w:b w:val="1"/>
                <w:bCs w:val="1"/>
                <w:color w:val="auto"/>
              </w:rPr>
              <w:t>Pratt &amp;</w:t>
            </w:r>
          </w:p>
        </w:tc>
        <w:tc>
          <w:tcPr>
            <w:tcW w:w="180" w:type="dxa"/>
            <w:vAlign w:val="bottom"/>
          </w:tcPr>
          <w:p>
            <w:pPr>
              <w:spacing w:after="0"/>
              <w:rPr>
                <w:sz w:val="13"/>
                <w:szCs w:val="13"/>
                <w:color w:val="auto"/>
              </w:rPr>
            </w:pPr>
          </w:p>
        </w:tc>
        <w:tc>
          <w:tcPr>
            <w:tcW w:w="800" w:type="dxa"/>
            <w:vAlign w:val="bottom"/>
          </w:tcPr>
          <w:p>
            <w:pPr>
              <w:jc w:val="center"/>
              <w:ind w:right="37"/>
              <w:spacing w:after="0" w:line="153" w:lineRule="exact"/>
              <w:rPr>
                <w:sz w:val="20"/>
                <w:szCs w:val="20"/>
                <w:color w:val="auto"/>
              </w:rPr>
            </w:pPr>
            <w:r>
              <w:rPr>
                <w:rFonts w:ascii="Arial" w:cs="Arial" w:eastAsia="Arial" w:hAnsi="Arial"/>
                <w:sz w:val="14"/>
                <w:szCs w:val="14"/>
                <w:b w:val="1"/>
                <w:bCs w:val="1"/>
                <w:color w:val="auto"/>
                <w:w w:val="94"/>
              </w:rPr>
              <w:t>Collins</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Otis</w:t>
            </w:r>
          </w:p>
        </w:tc>
        <w:tc>
          <w:tcPr>
            <w:tcW w:w="240" w:type="dxa"/>
            <w:vAlign w:val="bottom"/>
          </w:tcPr>
          <w:p>
            <w:pPr>
              <w:spacing w:after="0"/>
              <w:rPr>
                <w:sz w:val="12"/>
                <w:szCs w:val="12"/>
                <w:color w:val="auto"/>
              </w:rPr>
            </w:pPr>
          </w:p>
        </w:tc>
        <w:tc>
          <w:tcPr>
            <w:tcW w:w="68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Carrier</w:t>
            </w:r>
          </w:p>
        </w:tc>
        <w:tc>
          <w:tcPr>
            <w:tcW w:w="2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9"/>
              </w:rPr>
              <w:t>Aerospace</w:t>
            </w:r>
          </w:p>
        </w:tc>
        <w:tc>
          <w:tcPr>
            <w:tcW w:w="200" w:type="dxa"/>
            <w:vAlign w:val="bottom"/>
          </w:tcPr>
          <w:p>
            <w:pPr>
              <w:spacing w:after="0"/>
              <w:rPr>
                <w:sz w:val="12"/>
                <w:szCs w:val="12"/>
                <w:color w:val="auto"/>
              </w:rPr>
            </w:pPr>
          </w:p>
        </w:tc>
        <w:tc>
          <w:tcPr>
            <w:tcW w:w="72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Otis</w:t>
            </w:r>
          </w:p>
        </w:tc>
        <w:tc>
          <w:tcPr>
            <w:tcW w:w="240" w:type="dxa"/>
            <w:vAlign w:val="bottom"/>
          </w:tcPr>
          <w:p>
            <w:pPr>
              <w:spacing w:after="0"/>
              <w:rPr>
                <w:sz w:val="12"/>
                <w:szCs w:val="12"/>
                <w:color w:val="auto"/>
              </w:rPr>
            </w:pPr>
          </w:p>
        </w:tc>
        <w:tc>
          <w:tcPr>
            <w:tcW w:w="68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Carrier</w:t>
            </w:r>
          </w:p>
        </w:tc>
        <w:tc>
          <w:tcPr>
            <w:tcW w:w="2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9"/>
              </w:rPr>
              <w:t>Aerospace</w:t>
            </w:r>
          </w:p>
        </w:tc>
        <w:tc>
          <w:tcPr>
            <w:tcW w:w="200" w:type="dxa"/>
            <w:vAlign w:val="bottom"/>
          </w:tcPr>
          <w:p>
            <w:pPr>
              <w:spacing w:after="0"/>
              <w:rPr>
                <w:sz w:val="12"/>
                <w:szCs w:val="12"/>
                <w:color w:val="auto"/>
              </w:rPr>
            </w:pPr>
          </w:p>
        </w:tc>
        <w:tc>
          <w:tcPr>
            <w:tcW w:w="72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Whitney</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6"/>
              </w:rPr>
              <w:t>Systems</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5"/>
              </w:rPr>
              <w:t>Whitney</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6"/>
              </w:rPr>
              <w:t>Systems</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United States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4,790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8"/>
              </w:rPr>
              <w:t>11,988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4,730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8"/>
              </w:rPr>
              <w:t>11,588</w:t>
            </w:r>
          </w:p>
        </w:tc>
        <w:tc>
          <w:tcPr>
            <w:tcW w:w="0" w:type="dxa"/>
            <w:vAlign w:val="bottom"/>
          </w:tcPr>
          <w:p>
            <w:pPr>
              <w:spacing w:after="0"/>
              <w:rPr>
                <w:sz w:val="1"/>
                <w:szCs w:val="1"/>
                <w:color w:val="auto"/>
              </w:rPr>
            </w:pPr>
          </w:p>
        </w:tc>
      </w:tr>
      <w:tr>
        <w:trPr>
          <w:trHeight w:val="266"/>
        </w:trPr>
        <w:tc>
          <w:tcPr>
            <w:tcW w:w="1960" w:type="dxa"/>
            <w:vAlign w:val="bottom"/>
          </w:tcPr>
          <w:p>
            <w:pPr>
              <w:ind w:left="20"/>
              <w:spacing w:after="0"/>
              <w:rPr>
                <w:sz w:val="20"/>
                <w:szCs w:val="20"/>
                <w:color w:val="auto"/>
              </w:rPr>
            </w:pPr>
            <w:r>
              <w:rPr>
                <w:rFonts w:ascii="Arial" w:cs="Arial" w:eastAsia="Arial" w:hAnsi="Arial"/>
                <w:sz w:val="15"/>
                <w:szCs w:val="15"/>
                <w:color w:val="auto"/>
              </w:rPr>
              <w:t>Europe</w:t>
            </w:r>
          </w:p>
        </w:tc>
        <w:tc>
          <w:tcPr>
            <w:tcW w:w="2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942</w:t>
            </w:r>
          </w:p>
        </w:tc>
        <w:tc>
          <w:tcPr>
            <w:tcW w:w="2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1,179</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23"/>
                <w:szCs w:val="23"/>
                <w:color w:val="auto"/>
              </w:rPr>
            </w:pPr>
          </w:p>
        </w:tc>
        <w:tc>
          <w:tcPr>
            <w:tcW w:w="780" w:type="dxa"/>
            <w:vAlign w:val="bottom"/>
          </w:tcPr>
          <w:p>
            <w:pPr>
              <w:jc w:val="right"/>
              <w:ind w:right="57"/>
              <w:spacing w:after="0"/>
              <w:rPr>
                <w:sz w:val="20"/>
                <w:szCs w:val="20"/>
                <w:color w:val="auto"/>
              </w:rPr>
            </w:pPr>
            <w:r>
              <w:rPr>
                <w:rFonts w:ascii="Arial" w:cs="Arial" w:eastAsia="Arial" w:hAnsi="Arial"/>
                <w:sz w:val="18"/>
                <w:szCs w:val="18"/>
                <w:color w:val="auto"/>
              </w:rPr>
              <w:t>918</w:t>
            </w:r>
          </w:p>
        </w:tc>
        <w:tc>
          <w:tcPr>
            <w:tcW w:w="200" w:type="dxa"/>
            <w:vAlign w:val="bottom"/>
          </w:tcPr>
          <w:p>
            <w:pPr>
              <w:spacing w:after="0"/>
              <w:rPr>
                <w:sz w:val="23"/>
                <w:szCs w:val="23"/>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3,145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955</w:t>
            </w:r>
          </w:p>
        </w:tc>
        <w:tc>
          <w:tcPr>
            <w:tcW w:w="2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1,292</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23"/>
                <w:szCs w:val="23"/>
                <w:color w:val="auto"/>
              </w:rPr>
            </w:pPr>
          </w:p>
        </w:tc>
        <w:tc>
          <w:tcPr>
            <w:tcW w:w="800" w:type="dxa"/>
            <w:vAlign w:val="bottom"/>
          </w:tcPr>
          <w:p>
            <w:pPr>
              <w:jc w:val="right"/>
              <w:ind w:right="77"/>
              <w:spacing w:after="0"/>
              <w:rPr>
                <w:sz w:val="20"/>
                <w:szCs w:val="20"/>
                <w:color w:val="auto"/>
              </w:rPr>
            </w:pPr>
            <w:r>
              <w:rPr>
                <w:rFonts w:ascii="Arial" w:cs="Arial" w:eastAsia="Arial" w:hAnsi="Arial"/>
                <w:sz w:val="18"/>
                <w:szCs w:val="18"/>
                <w:color w:val="auto"/>
              </w:rPr>
              <w:t>1,024</w:t>
            </w:r>
          </w:p>
        </w:tc>
        <w:tc>
          <w:tcPr>
            <w:tcW w:w="200" w:type="dxa"/>
            <w:vAlign w:val="bottom"/>
          </w:tcPr>
          <w:p>
            <w:pPr>
              <w:spacing w:after="0"/>
              <w:rPr>
                <w:sz w:val="23"/>
                <w:szCs w:val="23"/>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3,379</w:t>
            </w:r>
          </w:p>
        </w:tc>
        <w:tc>
          <w:tcPr>
            <w:tcW w:w="0" w:type="dxa"/>
            <w:vAlign w:val="bottom"/>
          </w:tcPr>
          <w:p>
            <w:pPr>
              <w:spacing w:after="0"/>
              <w:rPr>
                <w:sz w:val="1"/>
                <w:szCs w:val="1"/>
                <w:color w:val="auto"/>
              </w:rPr>
            </w:pPr>
          </w:p>
        </w:tc>
      </w:tr>
      <w:tr>
        <w:trPr>
          <w:trHeight w:val="274"/>
        </w:trPr>
        <w:tc>
          <w:tcPr>
            <w:tcW w:w="1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Asia Pacific</w:t>
            </w:r>
          </w:p>
        </w:tc>
        <w:tc>
          <w:tcPr>
            <w:tcW w:w="22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24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165</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1,826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24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189</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2,032</w:t>
            </w:r>
          </w:p>
        </w:tc>
        <w:tc>
          <w:tcPr>
            <w:tcW w:w="0" w:type="dxa"/>
            <w:vAlign w:val="bottom"/>
          </w:tcPr>
          <w:p>
            <w:pPr>
              <w:spacing w:after="0"/>
              <w:rPr>
                <w:sz w:val="1"/>
                <w:szCs w:val="1"/>
                <w:color w:val="auto"/>
              </w:rPr>
            </w:pPr>
          </w:p>
        </w:tc>
      </w:tr>
      <w:tr>
        <w:trPr>
          <w:trHeight w:val="266"/>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w:t>
            </w:r>
          </w:p>
        </w:tc>
        <w:tc>
          <w:tcPr>
            <w:tcW w:w="2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2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2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565</w:t>
            </w: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1,684</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2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2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1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570</w:t>
            </w: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88"/>
        </w:trPr>
        <w:tc>
          <w:tcPr>
            <w:tcW w:w="19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Total segment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6,438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8"/>
              </w:rPr>
              <w:t>18,643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6,513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8"/>
              </w:rPr>
              <w:t>18,749</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Eliminations and other</w:t>
            </w:r>
          </w:p>
        </w:tc>
        <w:tc>
          <w:tcPr>
            <w:tcW w:w="22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93"/>
        </w:trPr>
        <w:tc>
          <w:tcPr>
            <w:tcW w:w="1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Consolidated</w:t>
            </w:r>
          </w:p>
        </w:tc>
        <w:tc>
          <w:tcPr>
            <w:tcW w:w="2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8"/>
              </w:rPr>
              <w:t>18,210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8"/>
              </w:rPr>
              <w:t>18,365</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*Other includes sales to other regions as well as inter-segment sales.</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Segment sales disaggregated by product type for the quarters ended March 31, 2020 and 2019 are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vMerge w:val="restart"/>
          </w:tcPr>
          <w:p>
            <w:pPr>
              <w:jc w:val="center"/>
              <w:ind w:right="18"/>
              <w:spacing w:after="0"/>
              <w:rPr>
                <w:sz w:val="20"/>
                <w:szCs w:val="20"/>
                <w:color w:val="auto"/>
              </w:rPr>
            </w:pPr>
            <w:r>
              <w:rPr>
                <w:rFonts w:ascii="Arial" w:cs="Arial" w:eastAsia="Arial" w:hAnsi="Arial"/>
                <w:sz w:val="14"/>
                <w:szCs w:val="14"/>
                <w:b w:val="1"/>
                <w:bCs w:val="1"/>
                <w:color w:val="auto"/>
              </w:rPr>
              <w:t>Pratt &amp;</w:t>
            </w:r>
          </w:p>
        </w:tc>
        <w:tc>
          <w:tcPr>
            <w:tcW w:w="200" w:type="dxa"/>
            <w:vAlign w:val="bottom"/>
          </w:tcPr>
          <w:p>
            <w:pPr>
              <w:spacing w:after="0"/>
              <w:rPr>
                <w:sz w:val="13"/>
                <w:szCs w:val="13"/>
                <w:color w:val="auto"/>
              </w:rPr>
            </w:pPr>
          </w:p>
        </w:tc>
        <w:tc>
          <w:tcPr>
            <w:tcW w:w="780" w:type="dxa"/>
            <w:vAlign w:val="bottom"/>
          </w:tcPr>
          <w:p>
            <w:pPr>
              <w:jc w:val="center"/>
              <w:ind w:right="58"/>
              <w:spacing w:after="0" w:line="153" w:lineRule="exact"/>
              <w:rPr>
                <w:sz w:val="20"/>
                <w:szCs w:val="20"/>
                <w:color w:val="auto"/>
              </w:rPr>
            </w:pPr>
            <w:r>
              <w:rPr>
                <w:rFonts w:ascii="Arial" w:cs="Arial" w:eastAsia="Arial" w:hAnsi="Arial"/>
                <w:sz w:val="14"/>
                <w:szCs w:val="14"/>
                <w:b w:val="1"/>
                <w:bCs w:val="1"/>
                <w:color w:val="auto"/>
                <w:w w:val="94"/>
              </w:rPr>
              <w:t>Collins</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vMerge w:val="restart"/>
          </w:tcPr>
          <w:p>
            <w:pPr>
              <w:jc w:val="center"/>
              <w:ind w:right="18"/>
              <w:spacing w:after="0"/>
              <w:rPr>
                <w:sz w:val="20"/>
                <w:szCs w:val="20"/>
                <w:color w:val="auto"/>
              </w:rPr>
            </w:pPr>
            <w:r>
              <w:rPr>
                <w:rFonts w:ascii="Arial" w:cs="Arial" w:eastAsia="Arial" w:hAnsi="Arial"/>
                <w:sz w:val="14"/>
                <w:szCs w:val="14"/>
                <w:b w:val="1"/>
                <w:bCs w:val="1"/>
                <w:color w:val="auto"/>
              </w:rPr>
              <w:t>Pratt &amp;</w:t>
            </w:r>
          </w:p>
        </w:tc>
        <w:tc>
          <w:tcPr>
            <w:tcW w:w="180" w:type="dxa"/>
            <w:vAlign w:val="bottom"/>
          </w:tcPr>
          <w:p>
            <w:pPr>
              <w:spacing w:after="0"/>
              <w:rPr>
                <w:sz w:val="13"/>
                <w:szCs w:val="13"/>
                <w:color w:val="auto"/>
              </w:rPr>
            </w:pPr>
          </w:p>
        </w:tc>
        <w:tc>
          <w:tcPr>
            <w:tcW w:w="800" w:type="dxa"/>
            <w:vAlign w:val="bottom"/>
          </w:tcPr>
          <w:p>
            <w:pPr>
              <w:jc w:val="center"/>
              <w:ind w:right="38"/>
              <w:spacing w:after="0" w:line="153" w:lineRule="exact"/>
              <w:rPr>
                <w:sz w:val="20"/>
                <w:szCs w:val="20"/>
                <w:color w:val="auto"/>
              </w:rPr>
            </w:pPr>
            <w:r>
              <w:rPr>
                <w:rFonts w:ascii="Arial" w:cs="Arial" w:eastAsia="Arial" w:hAnsi="Arial"/>
                <w:sz w:val="14"/>
                <w:szCs w:val="14"/>
                <w:b w:val="1"/>
                <w:bCs w:val="1"/>
                <w:color w:val="auto"/>
                <w:w w:val="94"/>
              </w:rPr>
              <w:t>Collins</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Otis</w:t>
            </w:r>
          </w:p>
        </w:tc>
        <w:tc>
          <w:tcPr>
            <w:tcW w:w="240" w:type="dxa"/>
            <w:vAlign w:val="bottom"/>
          </w:tcPr>
          <w:p>
            <w:pPr>
              <w:spacing w:after="0"/>
              <w:rPr>
                <w:sz w:val="12"/>
                <w:szCs w:val="12"/>
                <w:color w:val="auto"/>
              </w:rPr>
            </w:pPr>
          </w:p>
        </w:tc>
        <w:tc>
          <w:tcPr>
            <w:tcW w:w="68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Carrier</w:t>
            </w:r>
          </w:p>
        </w:tc>
        <w:tc>
          <w:tcPr>
            <w:tcW w:w="2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89"/>
              </w:rPr>
              <w:t>Aerospace</w:t>
            </w:r>
          </w:p>
        </w:tc>
        <w:tc>
          <w:tcPr>
            <w:tcW w:w="200" w:type="dxa"/>
            <w:vAlign w:val="bottom"/>
          </w:tcPr>
          <w:p>
            <w:pPr>
              <w:spacing w:after="0"/>
              <w:rPr>
                <w:sz w:val="12"/>
                <w:szCs w:val="12"/>
                <w:color w:val="auto"/>
              </w:rPr>
            </w:pPr>
          </w:p>
        </w:tc>
        <w:tc>
          <w:tcPr>
            <w:tcW w:w="7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Otis</w:t>
            </w:r>
          </w:p>
        </w:tc>
        <w:tc>
          <w:tcPr>
            <w:tcW w:w="240" w:type="dxa"/>
            <w:vAlign w:val="bottom"/>
          </w:tcPr>
          <w:p>
            <w:pPr>
              <w:spacing w:after="0"/>
              <w:rPr>
                <w:sz w:val="12"/>
                <w:szCs w:val="12"/>
                <w:color w:val="auto"/>
              </w:rPr>
            </w:pPr>
          </w:p>
        </w:tc>
        <w:tc>
          <w:tcPr>
            <w:tcW w:w="68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Carrier</w:t>
            </w:r>
          </w:p>
        </w:tc>
        <w:tc>
          <w:tcPr>
            <w:tcW w:w="2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9"/>
              </w:rPr>
              <w:t>Aerospace</w:t>
            </w:r>
          </w:p>
        </w:tc>
        <w:tc>
          <w:tcPr>
            <w:tcW w:w="200" w:type="dxa"/>
            <w:vAlign w:val="bottom"/>
          </w:tcPr>
          <w:p>
            <w:pPr>
              <w:spacing w:after="0"/>
              <w:rPr>
                <w:sz w:val="12"/>
                <w:szCs w:val="12"/>
                <w:color w:val="auto"/>
              </w:rPr>
            </w:pPr>
          </w:p>
        </w:tc>
        <w:tc>
          <w:tcPr>
            <w:tcW w:w="7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Whitney</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6"/>
              </w:rPr>
              <w:t>Systems</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5"/>
              </w:rPr>
              <w:t>Whitney</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6"/>
              </w:rPr>
              <w:t>Systems</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Commercial and industrial,</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2,966</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3,888</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ind w:right="58"/>
              <w:spacing w:after="0"/>
              <w:rPr>
                <w:sz w:val="20"/>
                <w:szCs w:val="20"/>
                <w:color w:val="auto"/>
              </w:rPr>
            </w:pPr>
            <w:r>
              <w:rPr>
                <w:rFonts w:ascii="Arial" w:cs="Arial" w:eastAsia="Arial" w:hAnsi="Arial"/>
                <w:sz w:val="18"/>
                <w:szCs w:val="18"/>
                <w:color w:val="auto"/>
              </w:rPr>
              <w:t>11</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6,875</w:t>
            </w:r>
          </w:p>
        </w:tc>
        <w:tc>
          <w:tcPr>
            <w:tcW w:w="3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3,096</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4,323</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ind w:right="78"/>
              <w:spacing w:after="0"/>
              <w:rPr>
                <w:sz w:val="20"/>
                <w:szCs w:val="20"/>
                <w:color w:val="auto"/>
              </w:rPr>
            </w:pPr>
            <w:r>
              <w:rPr>
                <w:rFonts w:ascii="Arial" w:cs="Arial" w:eastAsia="Arial" w:hAnsi="Arial"/>
                <w:sz w:val="18"/>
                <w:szCs w:val="18"/>
                <w:color w:val="auto"/>
              </w:rPr>
              <w:t>14</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7,456</w:t>
            </w:r>
          </w:p>
        </w:tc>
        <w:tc>
          <w:tcPr>
            <w:tcW w:w="0" w:type="dxa"/>
            <w:vAlign w:val="bottom"/>
          </w:tcPr>
          <w:p>
            <w:pPr>
              <w:spacing w:after="0"/>
              <w:rPr>
                <w:sz w:val="1"/>
                <w:szCs w:val="1"/>
                <w:color w:val="auto"/>
              </w:rPr>
            </w:pPr>
          </w:p>
        </w:tc>
      </w:tr>
      <w:tr>
        <w:trPr>
          <w:trHeight w:val="202"/>
        </w:trPr>
        <w:tc>
          <w:tcPr>
            <w:tcW w:w="1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 aerospace</w:t>
            </w:r>
          </w:p>
        </w:tc>
        <w:tc>
          <w:tcPr>
            <w:tcW w:w="22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1960" w:type="dxa"/>
            <w:vAlign w:val="bottom"/>
          </w:tcPr>
          <w:p>
            <w:pPr>
              <w:ind w:left="20"/>
              <w:spacing w:after="0"/>
              <w:rPr>
                <w:sz w:val="20"/>
                <w:szCs w:val="20"/>
                <w:color w:val="auto"/>
              </w:rPr>
            </w:pPr>
            <w:r>
              <w:rPr>
                <w:rFonts w:ascii="Arial" w:cs="Arial" w:eastAsia="Arial" w:hAnsi="Arial"/>
                <w:sz w:val="15"/>
                <w:szCs w:val="15"/>
                <w:color w:val="auto"/>
              </w:rPr>
              <w:t>Commercial aerospace</w:t>
            </w:r>
          </w:p>
        </w:tc>
        <w:tc>
          <w:tcPr>
            <w:tcW w:w="2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3,693</w:t>
            </w:r>
          </w:p>
        </w:tc>
        <w:tc>
          <w:tcPr>
            <w:tcW w:w="200" w:type="dxa"/>
            <w:vAlign w:val="bottom"/>
          </w:tcPr>
          <w:p>
            <w:pPr>
              <w:spacing w:after="0"/>
              <w:rPr>
                <w:sz w:val="23"/>
                <w:szCs w:val="23"/>
                <w:color w:val="auto"/>
              </w:rPr>
            </w:pPr>
          </w:p>
        </w:tc>
        <w:tc>
          <w:tcPr>
            <w:tcW w:w="780" w:type="dxa"/>
            <w:vAlign w:val="bottom"/>
          </w:tcPr>
          <w:p>
            <w:pPr>
              <w:jc w:val="right"/>
              <w:ind w:right="58"/>
              <w:spacing w:after="0"/>
              <w:rPr>
                <w:sz w:val="20"/>
                <w:szCs w:val="20"/>
                <w:color w:val="auto"/>
              </w:rPr>
            </w:pPr>
            <w:r>
              <w:rPr>
                <w:rFonts w:ascii="Arial" w:cs="Arial" w:eastAsia="Arial" w:hAnsi="Arial"/>
                <w:sz w:val="18"/>
                <w:szCs w:val="18"/>
                <w:color w:val="auto"/>
              </w:rPr>
              <w:t>4,586</w:t>
            </w:r>
          </w:p>
        </w:tc>
        <w:tc>
          <w:tcPr>
            <w:tcW w:w="200" w:type="dxa"/>
            <w:vAlign w:val="bottom"/>
          </w:tcPr>
          <w:p>
            <w:pPr>
              <w:spacing w:after="0"/>
              <w:rPr>
                <w:sz w:val="23"/>
                <w:szCs w:val="23"/>
                <w:color w:val="auto"/>
              </w:rPr>
            </w:pPr>
          </w:p>
        </w:tc>
        <w:tc>
          <w:tcPr>
            <w:tcW w:w="720" w:type="dxa"/>
            <w:vAlign w:val="bottom"/>
          </w:tcPr>
          <w:p>
            <w:pPr>
              <w:jc w:val="right"/>
              <w:ind w:right="73"/>
              <w:spacing w:after="0"/>
              <w:rPr>
                <w:sz w:val="20"/>
                <w:szCs w:val="20"/>
                <w:color w:val="auto"/>
              </w:rPr>
            </w:pPr>
            <w:r>
              <w:rPr>
                <w:rFonts w:ascii="Arial" w:cs="Arial" w:eastAsia="Arial" w:hAnsi="Arial"/>
                <w:sz w:val="18"/>
                <w:szCs w:val="18"/>
                <w:color w:val="auto"/>
              </w:rPr>
              <w:t>8,279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3,375</w:t>
            </w:r>
          </w:p>
        </w:tc>
        <w:tc>
          <w:tcPr>
            <w:tcW w:w="180" w:type="dxa"/>
            <w:vAlign w:val="bottom"/>
          </w:tcPr>
          <w:p>
            <w:pPr>
              <w:spacing w:after="0"/>
              <w:rPr>
                <w:sz w:val="23"/>
                <w:szCs w:val="23"/>
                <w:color w:val="auto"/>
              </w:rPr>
            </w:pPr>
          </w:p>
        </w:tc>
        <w:tc>
          <w:tcPr>
            <w:tcW w:w="800" w:type="dxa"/>
            <w:vAlign w:val="bottom"/>
          </w:tcPr>
          <w:p>
            <w:pPr>
              <w:jc w:val="right"/>
              <w:ind w:right="78"/>
              <w:spacing w:after="0"/>
              <w:rPr>
                <w:sz w:val="20"/>
                <w:szCs w:val="20"/>
                <w:color w:val="auto"/>
              </w:rPr>
            </w:pPr>
            <w:r>
              <w:rPr>
                <w:rFonts w:ascii="Arial" w:cs="Arial" w:eastAsia="Arial" w:hAnsi="Arial"/>
                <w:sz w:val="18"/>
                <w:szCs w:val="18"/>
                <w:color w:val="auto"/>
              </w:rPr>
              <w:t>4,828</w:t>
            </w:r>
          </w:p>
        </w:tc>
        <w:tc>
          <w:tcPr>
            <w:tcW w:w="200" w:type="dxa"/>
            <w:vAlign w:val="bottom"/>
          </w:tcPr>
          <w:p>
            <w:pPr>
              <w:spacing w:after="0"/>
              <w:rPr>
                <w:sz w:val="23"/>
                <w:szCs w:val="23"/>
                <w:color w:val="auto"/>
              </w:rPr>
            </w:pPr>
          </w:p>
        </w:tc>
        <w:tc>
          <w:tcPr>
            <w:tcW w:w="720" w:type="dxa"/>
            <w:vAlign w:val="bottom"/>
          </w:tcPr>
          <w:p>
            <w:pPr>
              <w:jc w:val="right"/>
              <w:ind w:right="73"/>
              <w:spacing w:after="0"/>
              <w:rPr>
                <w:sz w:val="20"/>
                <w:szCs w:val="20"/>
                <w:color w:val="auto"/>
              </w:rPr>
            </w:pPr>
            <w:r>
              <w:rPr>
                <w:rFonts w:ascii="Arial" w:cs="Arial" w:eastAsia="Arial" w:hAnsi="Arial"/>
                <w:sz w:val="18"/>
                <w:szCs w:val="18"/>
                <w:color w:val="auto"/>
              </w:rPr>
              <w:t>8,203</w:t>
            </w:r>
          </w:p>
        </w:tc>
        <w:tc>
          <w:tcPr>
            <w:tcW w:w="0" w:type="dxa"/>
            <w:vAlign w:val="bottom"/>
          </w:tcPr>
          <w:p>
            <w:pPr>
              <w:spacing w:after="0"/>
              <w:rPr>
                <w:sz w:val="1"/>
                <w:szCs w:val="1"/>
                <w:color w:val="auto"/>
              </w:rPr>
            </w:pPr>
          </w:p>
        </w:tc>
      </w:tr>
      <w:tr>
        <w:trPr>
          <w:trHeight w:val="270"/>
        </w:trPr>
        <w:tc>
          <w:tcPr>
            <w:tcW w:w="1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Military aerospace</w:t>
            </w:r>
          </w:p>
        </w:tc>
        <w:tc>
          <w:tcPr>
            <w:tcW w:w="22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2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1,841</w:t>
            </w: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3,489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1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rPr>
              <w:t>1,671</w:t>
            </w: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3,090</w:t>
            </w:r>
          </w:p>
        </w:tc>
        <w:tc>
          <w:tcPr>
            <w:tcW w:w="0" w:type="dxa"/>
            <w:vAlign w:val="bottom"/>
          </w:tcPr>
          <w:p>
            <w:pPr>
              <w:spacing w:after="0"/>
              <w:rPr>
                <w:sz w:val="1"/>
                <w:szCs w:val="1"/>
                <w:color w:val="auto"/>
              </w:rPr>
            </w:pPr>
          </w:p>
        </w:tc>
      </w:tr>
      <w:tr>
        <w:trPr>
          <w:trHeight w:val="268"/>
        </w:trPr>
        <w:tc>
          <w:tcPr>
            <w:tcW w:w="1960" w:type="dxa"/>
            <w:vAlign w:val="bottom"/>
          </w:tcPr>
          <w:p>
            <w:pPr>
              <w:ind w:left="120"/>
              <w:spacing w:after="0"/>
              <w:rPr>
                <w:sz w:val="20"/>
                <w:szCs w:val="20"/>
                <w:color w:val="auto"/>
              </w:rPr>
            </w:pPr>
            <w:r>
              <w:rPr>
                <w:rFonts w:ascii="Arial" w:cs="Arial" w:eastAsia="Arial" w:hAnsi="Arial"/>
                <w:sz w:val="15"/>
                <w:szCs w:val="15"/>
                <w:color w:val="auto"/>
              </w:rPr>
              <w:t>Total segment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2,966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3,888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5,351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8"/>
              <w:spacing w:after="0"/>
              <w:rPr>
                <w:sz w:val="20"/>
                <w:szCs w:val="20"/>
                <w:color w:val="auto"/>
              </w:rPr>
            </w:pPr>
            <w:r>
              <w:rPr>
                <w:rFonts w:ascii="Arial" w:cs="Arial" w:eastAsia="Arial" w:hAnsi="Arial"/>
                <w:sz w:val="18"/>
                <w:szCs w:val="18"/>
                <w:color w:val="auto"/>
              </w:rPr>
              <w:t>6,438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73"/>
              <w:spacing w:after="0"/>
              <w:rPr>
                <w:sz w:val="20"/>
                <w:szCs w:val="20"/>
                <w:color w:val="auto"/>
              </w:rPr>
            </w:pPr>
            <w:r>
              <w:rPr>
                <w:rFonts w:ascii="Arial" w:cs="Arial" w:eastAsia="Arial" w:hAnsi="Arial"/>
                <w:sz w:val="18"/>
                <w:szCs w:val="18"/>
                <w:color w:val="auto"/>
                <w:w w:val="98"/>
              </w:rPr>
              <w:t>18,643</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3,096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4,323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4,817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8"/>
              <w:spacing w:after="0"/>
              <w:rPr>
                <w:sz w:val="20"/>
                <w:szCs w:val="20"/>
                <w:color w:val="auto"/>
              </w:rPr>
            </w:pPr>
            <w:r>
              <w:rPr>
                <w:rFonts w:ascii="Arial" w:cs="Arial" w:eastAsia="Arial" w:hAnsi="Arial"/>
                <w:sz w:val="18"/>
                <w:szCs w:val="18"/>
                <w:color w:val="auto"/>
              </w:rPr>
              <w:t>6,513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73"/>
              <w:spacing w:after="0"/>
              <w:rPr>
                <w:sz w:val="20"/>
                <w:szCs w:val="20"/>
                <w:color w:val="auto"/>
              </w:rPr>
            </w:pPr>
            <w:r>
              <w:rPr>
                <w:rFonts w:ascii="Arial" w:cs="Arial" w:eastAsia="Arial" w:hAnsi="Arial"/>
                <w:sz w:val="18"/>
                <w:szCs w:val="18"/>
                <w:color w:val="auto"/>
                <w:w w:val="98"/>
              </w:rPr>
              <w:t>18,749</w:t>
            </w:r>
          </w:p>
        </w:tc>
        <w:tc>
          <w:tcPr>
            <w:tcW w:w="0" w:type="dxa"/>
            <w:vAlign w:val="bottom"/>
          </w:tcPr>
          <w:p>
            <w:pPr>
              <w:spacing w:after="0"/>
              <w:rPr>
                <w:sz w:val="1"/>
                <w:szCs w:val="1"/>
                <w:color w:val="auto"/>
              </w:rPr>
            </w:pPr>
          </w:p>
        </w:tc>
      </w:tr>
      <w:tr>
        <w:trPr>
          <w:trHeight w:val="20"/>
        </w:trPr>
        <w:tc>
          <w:tcPr>
            <w:tcW w:w="19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1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Eliminations and other</w:t>
            </w: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67"/>
        </w:trPr>
        <w:tc>
          <w:tcPr>
            <w:tcW w:w="1960" w:type="dxa"/>
            <w:vAlign w:val="bottom"/>
          </w:tcPr>
          <w:p>
            <w:pPr>
              <w:ind w:left="120"/>
              <w:spacing w:after="0"/>
              <w:rPr>
                <w:sz w:val="20"/>
                <w:szCs w:val="20"/>
                <w:color w:val="auto"/>
              </w:rPr>
            </w:pPr>
            <w:r>
              <w:rPr>
                <w:rFonts w:ascii="Arial" w:cs="Arial" w:eastAsia="Arial" w:hAnsi="Arial"/>
                <w:sz w:val="15"/>
                <w:szCs w:val="15"/>
                <w:color w:val="auto"/>
              </w:rPr>
              <w:t>Consolidated</w:t>
            </w: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8"/>
              </w:rPr>
              <w:t>18,210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8"/>
              </w:rPr>
              <w:t>18,365</w:t>
            </w:r>
          </w:p>
        </w:tc>
        <w:tc>
          <w:tcPr>
            <w:tcW w:w="0" w:type="dxa"/>
            <w:vAlign w:val="bottom"/>
          </w:tcPr>
          <w:p>
            <w:pPr>
              <w:spacing w:after="0"/>
              <w:rPr>
                <w:sz w:val="1"/>
                <w:szCs w:val="1"/>
                <w:color w:val="auto"/>
              </w:rPr>
            </w:pPr>
          </w:p>
        </w:tc>
      </w:tr>
      <w:tr>
        <w:trPr>
          <w:trHeight w:val="21"/>
        </w:trPr>
        <w:tc>
          <w:tcPr>
            <w:tcW w:w="1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16" w:right="3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type w:val="continuous"/>
        </w:sectPr>
      </w:pPr>
    </w:p>
    <w:bookmarkStart w:id="31" w:name="page32"/>
    <w:bookmarkEnd w:id="31"/>
    <w:p>
      <w:pPr>
        <w:spacing w:after="0" w:line="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Segment sales disaggregated by sales type for the quarters ended March 31, 2020 and 2019 are as follows:</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9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10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0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Pratt &amp;</w:t>
            </w: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Collins</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Pratt &amp;</w:t>
            </w: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Collins</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86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Otis</w:t>
            </w:r>
          </w:p>
        </w:tc>
        <w:tc>
          <w:tcPr>
            <w:tcW w:w="9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Carrier</w:t>
            </w:r>
          </w:p>
        </w:tc>
        <w:tc>
          <w:tcPr>
            <w:tcW w:w="900" w:type="dxa"/>
            <w:vAlign w:val="bottom"/>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Aerospace</w:t>
            </w:r>
          </w:p>
        </w:tc>
        <w:tc>
          <w:tcPr>
            <w:tcW w:w="9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88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Otis</w:t>
            </w:r>
          </w:p>
        </w:tc>
        <w:tc>
          <w:tcPr>
            <w:tcW w:w="9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Carrier</w:t>
            </w:r>
          </w:p>
        </w:tc>
        <w:tc>
          <w:tcPr>
            <w:tcW w:w="900" w:type="dxa"/>
            <w:vAlign w:val="bottom"/>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Aerospace</w:t>
            </w:r>
          </w:p>
        </w:tc>
        <w:tc>
          <w:tcPr>
            <w:tcW w:w="8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1940" w:type="dxa"/>
            <w:vAlign w:val="bottom"/>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86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9"/>
              </w:rPr>
              <w:t>Whitney</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6"/>
              </w:rPr>
              <w:t>Systems</w:t>
            </w:r>
          </w:p>
        </w:tc>
        <w:tc>
          <w:tcPr>
            <w:tcW w:w="94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Whitney</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6"/>
              </w:rPr>
              <w:t>Systems</w:t>
            </w: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1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Product</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3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3,147</w:t>
            </w:r>
          </w:p>
        </w:tc>
        <w:tc>
          <w:tcPr>
            <w:tcW w:w="3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3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5,291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8"/>
              </w:rPr>
              <w:t>12,818</w:t>
            </w: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3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3,566</w:t>
            </w:r>
          </w:p>
        </w:tc>
        <w:tc>
          <w:tcPr>
            <w:tcW w:w="3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3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5,406</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8"/>
              </w:rPr>
              <w:t>13,224</w:t>
            </w:r>
          </w:p>
        </w:tc>
      </w:tr>
      <w:tr>
        <w:trPr>
          <w:trHeight w:val="264"/>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Service</w:t>
            </w:r>
          </w:p>
        </w:tc>
        <w:tc>
          <w:tcPr>
            <w:tcW w:w="2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w:t>
            </w:r>
          </w:p>
        </w:tc>
        <w:tc>
          <w:tcPr>
            <w:tcW w:w="3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3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2,094</w:t>
            </w:r>
          </w:p>
        </w:tc>
        <w:tc>
          <w:tcPr>
            <w:tcW w:w="3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1,147</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5,825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w:t>
            </w:r>
          </w:p>
        </w:tc>
        <w:tc>
          <w:tcPr>
            <w:tcW w:w="3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3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1,844</w:t>
            </w:r>
          </w:p>
        </w:tc>
        <w:tc>
          <w:tcPr>
            <w:tcW w:w="3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1,107</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5,525</w:t>
            </w:r>
          </w:p>
        </w:tc>
      </w:tr>
      <w:tr>
        <w:trPr>
          <w:trHeight w:val="290"/>
        </w:trPr>
        <w:tc>
          <w:tcPr>
            <w:tcW w:w="1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segment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3,888</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5,351</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6,438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8"/>
              </w:rPr>
              <w:t>18,643</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4,323</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4,817</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6,513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8"/>
              </w:rPr>
              <w:t>18,749</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238"/>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Eliminations and other</w:t>
            </w:r>
          </w:p>
        </w:tc>
        <w:tc>
          <w:tcPr>
            <w:tcW w:w="22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(384)</w:t>
            </w:r>
          </w:p>
        </w:tc>
      </w:tr>
      <w:tr>
        <w:trPr>
          <w:trHeight w:val="295"/>
        </w:trPr>
        <w:tc>
          <w:tcPr>
            <w:tcW w:w="1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Consolidated</w:t>
            </w:r>
          </w:p>
        </w:tc>
        <w:tc>
          <w:tcPr>
            <w:tcW w:w="2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8"/>
              </w:rPr>
              <w:t>18,210</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8"/>
              </w:rPr>
              <w:t>18,365</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Remaining Performance Obligations</w:t>
      </w:r>
    </w:p>
    <w:p>
      <w:pPr>
        <w:spacing w:after="0" w:line="121" w:lineRule="exact"/>
        <w:rPr>
          <w:sz w:val="20"/>
          <w:szCs w:val="20"/>
          <w:color w:val="auto"/>
        </w:rPr>
      </w:pPr>
    </w:p>
    <w:p>
      <w:pPr>
        <w:ind w:right="60" w:firstLine="648"/>
        <w:spacing w:after="0" w:line="276" w:lineRule="auto"/>
        <w:rPr>
          <w:sz w:val="20"/>
          <w:szCs w:val="20"/>
          <w:color w:val="auto"/>
        </w:rPr>
      </w:pPr>
      <w:r>
        <w:rPr>
          <w:rFonts w:ascii="Arial" w:cs="Arial" w:eastAsia="Arial" w:hAnsi="Arial"/>
          <w:sz w:val="16"/>
          <w:szCs w:val="16"/>
          <w:color w:val="auto"/>
        </w:rPr>
        <w:t>Remaining performance obligations (RPO) represent the aggregate amount of total contract transaction price that is unsatisfied or partially unsatisfied. As of March 31, 2020 our total RPO was approximately $132.8 billion compared to $132.7 billion as of December 31, 2019. Of the total RPO as of March 31, 2020, we expect approximately 44% will be recognized as sales over the following 24 months. The percentage of RPO to be recognized as sales over the following 24 months depends on future developments, which are highly uncertain and cannot be predicted, including new information which may emerge concerning the scope, severity and duration of the COVID-19 pandemic, actions to contain its spread or treat its impact, and governmental, business and individuals’ actions taken in response to the pandemic, which may result in customer delays or order cancellations.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Accounting Pronouncements</w:t>
      </w:r>
    </w:p>
    <w:p>
      <w:pPr>
        <w:spacing w:after="0" w:line="121" w:lineRule="exact"/>
        <w:rPr>
          <w:sz w:val="20"/>
          <w:szCs w:val="20"/>
          <w:color w:val="auto"/>
        </w:rPr>
      </w:pPr>
    </w:p>
    <w:p>
      <w:pPr>
        <w:ind w:right="20" w:firstLine="567"/>
        <w:spacing w:after="0" w:line="272" w:lineRule="auto"/>
        <w:rPr>
          <w:sz w:val="20"/>
          <w:szCs w:val="20"/>
          <w:color w:val="auto"/>
        </w:rPr>
      </w:pPr>
      <w:r>
        <w:rPr>
          <w:rFonts w:ascii="Arial" w:cs="Arial" w:eastAsia="Arial" w:hAnsi="Arial"/>
          <w:sz w:val="17"/>
          <w:szCs w:val="17"/>
          <w:color w:val="auto"/>
        </w:rPr>
        <w:t>In June 2016, the FASB issued ASU 2016-13, Financial Instruments - Credit Losses (Topic 326): Measurement of Credit Losses on Financial Instruments. This ASU and its related amendments (collectively, the Credit Loss Standard) modifies the impairment model to utilize an expected loss methodology in place of the incurred loss methodology for financial instruments, including trade receivables, contract assets, long term receivables and off-balance sheet credit exposures. The Credit Loss Standard requires consideration of a broader range of information to estimate expected credit losses, including historical information, current economic conditions and a reasonable forecast period. This ASU requires that the statement of operations reflect estimates of expected credit losses for newly recognized financial assets as well as changes in the estimate of expected credit losses that have taken place during the period, which may result in earlier recognition of certain losses.</w:t>
      </w:r>
    </w:p>
    <w:p>
      <w:pPr>
        <w:spacing w:after="0" w:line="69" w:lineRule="exact"/>
        <w:rPr>
          <w:sz w:val="20"/>
          <w:szCs w:val="20"/>
          <w:color w:val="auto"/>
        </w:rPr>
      </w:pPr>
    </w:p>
    <w:p>
      <w:pPr>
        <w:ind w:right="400" w:firstLine="567"/>
        <w:spacing w:after="0" w:line="248" w:lineRule="auto"/>
        <w:rPr>
          <w:sz w:val="20"/>
          <w:szCs w:val="20"/>
          <w:color w:val="auto"/>
        </w:rPr>
      </w:pPr>
      <w:r>
        <w:rPr>
          <w:rFonts w:ascii="Arial" w:cs="Arial" w:eastAsia="Arial" w:hAnsi="Arial"/>
          <w:sz w:val="18"/>
          <w:szCs w:val="18"/>
          <w:color w:val="auto"/>
        </w:rPr>
        <w:t>We adopted this standard effective January 1, 2020 utilizing a modified retrospective approach. A cumulative-effect non-cash adjustment to retained earnings as of January 1, 2020 was recorded in the amount of $59 million. The adoption of this standard did not have a material impact on the Company's Condensed Consolidated Financial Statements.</w:t>
      </w:r>
    </w:p>
    <w:p>
      <w:pPr>
        <w:spacing w:after="0" w:line="74" w:lineRule="exact"/>
        <w:rPr>
          <w:sz w:val="20"/>
          <w:szCs w:val="20"/>
          <w:color w:val="auto"/>
        </w:rPr>
      </w:pPr>
    </w:p>
    <w:p>
      <w:pPr>
        <w:ind w:right="20" w:firstLine="567"/>
        <w:spacing w:after="0" w:line="254" w:lineRule="auto"/>
        <w:rPr>
          <w:sz w:val="20"/>
          <w:szCs w:val="20"/>
          <w:color w:val="auto"/>
        </w:rPr>
      </w:pPr>
      <w:r>
        <w:rPr>
          <w:rFonts w:ascii="Arial" w:cs="Arial" w:eastAsia="Arial" w:hAnsi="Arial"/>
          <w:sz w:val="17"/>
          <w:szCs w:val="17"/>
          <w:color w:val="auto"/>
        </w:rPr>
        <w:t>We are exposed to credit losses primarily through our sales of products and services to commercial customers which are recorded as trade receivables, contract assets, long-term receivables, and notes and lease receivables on the Condensed Consolidated Balance Sheet. We do not have exposure for credit losses related to sales of products and services to our government customers. Our method for developing our allowance for credit losses involves making informed judgments regarding whether an adjustment is necessary to our historical loss experiences to reflect our expectations around current economic conditions and reasonable and supportable forecast periods, where applicable. We utilize current economic market data as well as other internal and external information available to us to inform our decision making. In certain circumstances we may be able to develop reasonable and supportable forecasts over the contractual term of the financial asset or off-balance sheet exposure. For periods beyond which we are able to make or obtain reasonable and supportable forecasts, we revert to historical loss experience and information.</w:t>
      </w:r>
    </w:p>
    <w:p>
      <w:pPr>
        <w:spacing w:after="0" w:line="73" w:lineRule="exact"/>
        <w:rPr>
          <w:sz w:val="20"/>
          <w:szCs w:val="20"/>
          <w:color w:val="auto"/>
        </w:rPr>
      </w:pPr>
    </w:p>
    <w:p>
      <w:pPr>
        <w:ind w:right="160" w:firstLine="567"/>
        <w:spacing w:after="0" w:line="238" w:lineRule="auto"/>
        <w:rPr>
          <w:sz w:val="20"/>
          <w:szCs w:val="20"/>
          <w:color w:val="auto"/>
        </w:rPr>
      </w:pPr>
      <w:r>
        <w:rPr>
          <w:rFonts w:ascii="Arial" w:cs="Arial" w:eastAsia="Arial" w:hAnsi="Arial"/>
          <w:sz w:val="18"/>
          <w:szCs w:val="18"/>
          <w:color w:val="auto"/>
        </w:rPr>
        <w:t>We determine credit ratings for each customer in our portfolio based upon public information and information obtained directly from our customers. We conduct a review of customer credit ratings, published historical credit default rates for different rating categories, and multiple third-party aircraft value publications as a basis to validate the reasonableness of the allowance for credit losses on these balances quarterly or when events and circumstances warrant. In addition to credit quality indicators, factors considered in our evaluation of assessing collectability and risk include: underlying value of any collateral or security interests, significant past due balances, historical losses, and existing economic conditions, including geographic and political risk. A credit limit is established for each customer based on the outcome of this review. Customer credit ratings range from customers with an extremely strong capacity to meet financial obligations, to customers whose uncollateralized receivable is in default. We may require collateral or prepayment to mitigate credit risk.</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ind w:right="180" w:firstLine="567"/>
        <w:spacing w:after="0" w:line="284" w:lineRule="auto"/>
        <w:rPr>
          <w:sz w:val="20"/>
          <w:szCs w:val="20"/>
          <w:color w:val="auto"/>
        </w:rPr>
      </w:pPr>
      <w:r>
        <w:rPr>
          <w:rFonts w:ascii="Arial" w:cs="Arial" w:eastAsia="Arial" w:hAnsi="Arial"/>
          <w:sz w:val="16"/>
          <w:szCs w:val="16"/>
          <w:color w:val="auto"/>
        </w:rPr>
        <w:t>To estimate expected credit losses of financial assets with similar risk characteristics, we determine an asset is impaired when, based on historical experience, current information and a reasonable forecast period, there’s risk that we will be unable to collect amounts due according to the contractual terms of the agreement. We monitor our ongoing credit exposure through reviews of customer balances against contract terms and due dates, current economic conditions, and dispute resolution. Estimated credit losses are written off in the period in which the financial asset is no longer collectible.</w:t>
      </w:r>
    </w:p>
    <w:p>
      <w:pPr>
        <w:spacing w:after="0" w:line="47" w:lineRule="exact"/>
        <w:rPr>
          <w:sz w:val="20"/>
          <w:szCs w:val="20"/>
          <w:color w:val="auto"/>
        </w:rPr>
      </w:pPr>
    </w:p>
    <w:p>
      <w:pPr>
        <w:ind w:firstLine="567"/>
        <w:spacing w:after="0" w:line="261" w:lineRule="auto"/>
        <w:rPr>
          <w:sz w:val="20"/>
          <w:szCs w:val="20"/>
          <w:color w:val="auto"/>
        </w:rPr>
      </w:pPr>
      <w:r>
        <w:rPr>
          <w:rFonts w:ascii="Arial" w:cs="Arial" w:eastAsia="Arial" w:hAnsi="Arial"/>
          <w:sz w:val="18"/>
          <w:szCs w:val="18"/>
          <w:color w:val="auto"/>
        </w:rPr>
        <w:t>We can also be exposed to credit losses from off-balance sheet exposures, such as certain financial guarantees and financing commitments. We have assessed these potential exposures and concluded that there are no associated credit losses as of March 31, 2020.</w:t>
      </w:r>
    </w:p>
    <w:p>
      <w:pPr>
        <w:spacing w:after="0" w:line="63" w:lineRule="exact"/>
        <w:rPr>
          <w:sz w:val="20"/>
          <w:szCs w:val="20"/>
          <w:color w:val="auto"/>
        </w:rPr>
      </w:pPr>
    </w:p>
    <w:p>
      <w:pPr>
        <w:ind w:right="140" w:firstLine="567"/>
        <w:spacing w:after="0" w:line="257" w:lineRule="auto"/>
        <w:rPr>
          <w:sz w:val="20"/>
          <w:szCs w:val="20"/>
          <w:color w:val="auto"/>
        </w:rPr>
      </w:pPr>
      <w:r>
        <w:rPr>
          <w:rFonts w:ascii="Arial" w:cs="Arial" w:eastAsia="Arial" w:hAnsi="Arial"/>
          <w:sz w:val="18"/>
          <w:szCs w:val="18"/>
          <w:color w:val="auto"/>
        </w:rPr>
        <w:t>In August 2018, the FASB issued ASU 2018-14, Compensation—Retirement Benefits—Defined Benefit Plans—General (Subtopic 715-20): Disclosure Framework—Changes to the Disclosure Requirements for Defined Benefit Plans. The new standard includes updates to the annual disclosure requirements for defined benefit plans including several additions, deletions and modifications to the disclosure requirements. The provisions of this ASU are effective for years beginning after December 15, 2020. This standard is required to be applied retrospectively. We do not expect this ASU to have a material effect on our annual disclosures.</w:t>
      </w:r>
    </w:p>
    <w:p>
      <w:pPr>
        <w:spacing w:after="0" w:line="80" w:lineRule="exact"/>
        <w:rPr>
          <w:sz w:val="20"/>
          <w:szCs w:val="20"/>
          <w:color w:val="auto"/>
        </w:rPr>
      </w:pPr>
    </w:p>
    <w:p>
      <w:pPr>
        <w:ind w:right="440" w:firstLine="567"/>
        <w:spacing w:after="0" w:line="275" w:lineRule="auto"/>
        <w:rPr>
          <w:sz w:val="20"/>
          <w:szCs w:val="20"/>
          <w:color w:val="auto"/>
        </w:rPr>
      </w:pPr>
      <w:r>
        <w:rPr>
          <w:rFonts w:ascii="Arial" w:cs="Arial" w:eastAsia="Arial" w:hAnsi="Arial"/>
          <w:sz w:val="17"/>
          <w:szCs w:val="17"/>
          <w:color w:val="auto"/>
        </w:rPr>
        <w:t>In August 2018, the FASB issued ASU 2018-15, Intangibles—Goodwill and Other—Internal-Use Software (Subtopic 350-40): Customer’s Accounting for Implementation Costs Incurred in a Cloud Computing Arrangement That Is a Service Contract. The new standard provides updated guidance surrounding implementation costs associated with cloud computing arrangements that are service contracts. The provisions of this ASU are effective for years beginning after December 15, 2019, with early adoption permitted. We adopted the new standard prospectively effective January 1, 2020. This ASU did not have a material impact on the Condensed Consolidated Financial Statements.</w:t>
      </w:r>
    </w:p>
    <w:p>
      <w:pPr>
        <w:spacing w:after="0" w:line="68" w:lineRule="exact"/>
        <w:rPr>
          <w:sz w:val="20"/>
          <w:szCs w:val="20"/>
          <w:color w:val="auto"/>
        </w:rPr>
      </w:pPr>
    </w:p>
    <w:p>
      <w:pPr>
        <w:ind w:right="40" w:firstLine="567"/>
        <w:spacing w:after="0" w:line="271" w:lineRule="auto"/>
        <w:rPr>
          <w:sz w:val="20"/>
          <w:szCs w:val="20"/>
          <w:color w:val="auto"/>
        </w:rPr>
      </w:pPr>
      <w:r>
        <w:rPr>
          <w:rFonts w:ascii="Arial" w:cs="Arial" w:eastAsia="Arial" w:hAnsi="Arial"/>
          <w:sz w:val="17"/>
          <w:szCs w:val="17"/>
          <w:color w:val="auto"/>
        </w:rPr>
        <w:t>In October 2018, the FASB issued ASU 2018-17, Consolidation (Topic 810): Targeted Improvements to Related Party Guidance for Variable Interest Entities. The amendments in this update for determining whether a decision-making fee is a variable interest require reporting entities to consider indirect interests held through related parties under common control on a proportional basis rather than as the equivalent of a direct interest in its entirety (as currently required in generally accepted accounting principles (GAAP)). These amendments also will create alignment between determining whether a decision making fee is a variable interest and determining whether a reporting entity within a related party group is the primary beneficiary of a VIE. This will significantly reduce the risk that decision makers with insignificant direct and indirect interests could be deemed the primary beneficiary of a VIE. The provisions of this ASU are effective for years beginning after December 15, 2019, with early adoption permitted. We adopted the new standard effective January 1, 2020. This ASU did not have an impact on the Condensed Consolidated Financial Statements.</w:t>
      </w:r>
    </w:p>
    <w:p>
      <w:pPr>
        <w:spacing w:after="0" w:line="70" w:lineRule="exact"/>
        <w:rPr>
          <w:sz w:val="20"/>
          <w:szCs w:val="20"/>
          <w:color w:val="auto"/>
        </w:rPr>
      </w:pPr>
    </w:p>
    <w:p>
      <w:pPr>
        <w:ind w:right="200" w:firstLine="567"/>
        <w:spacing w:after="0" w:line="288" w:lineRule="auto"/>
        <w:rPr>
          <w:sz w:val="20"/>
          <w:szCs w:val="20"/>
          <w:color w:val="auto"/>
        </w:rPr>
      </w:pPr>
      <w:r>
        <w:rPr>
          <w:rFonts w:ascii="Arial" w:cs="Arial" w:eastAsia="Arial" w:hAnsi="Arial"/>
          <w:sz w:val="16"/>
          <w:szCs w:val="16"/>
          <w:color w:val="auto"/>
        </w:rPr>
        <w:t>In November 2018, the FASB issued ASU 2018-18, Collaborative Arrangements (Topic 808): Clarifying the Interaction between Topic 808 and Topic 606. The amendments in this update make targeted improvements to GAAP for collaborative arrangements as follows: clarify that certain transactions between collaborative arrangement participants should be accounted for as revenue under Topic 606 when the collaborative arrangement participant is a customer in the context of a unit of account. In those situations, all the guidance in Topic 606 should be applied, including recognition, measurement, presentation, and disclosure requirements; add unit-of-account guidance in Topic 808 to align with the guidance in Topic 606 (that is, a distinct good or service) when an entity is assessing whether the collaborative arrangement or a part of the arrangement is within the scope of Topic 606; and require that in a transaction with a collaborative arrangement participant that is not directly related to sales to third parties, presenting the transaction together with revenue recognized under Topic 606 is precluded if the collaborative arrangement participant is not a customer. The provisions of this ASU are effective for years beginning after December 15, 2019, with early adoption permitted. We adopted the new standard effective January 1, 2020. This ASU did not have a material impact on the Condensed Consolidated Financial Statements.</w:t>
      </w:r>
    </w:p>
    <w:p>
      <w:pPr>
        <w:spacing w:after="0" w:line="60" w:lineRule="exact"/>
        <w:rPr>
          <w:sz w:val="20"/>
          <w:szCs w:val="20"/>
          <w:color w:val="auto"/>
        </w:rPr>
      </w:pPr>
    </w:p>
    <w:p>
      <w:pPr>
        <w:ind w:right="20" w:firstLine="567"/>
        <w:spacing w:after="0" w:line="253"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The amendments in this update remove certain exceptions of Topic 740 including: exception to the incremental approach for intraperiod tax allocation when there is a loss from continuing operations and income or gain from other items; exception to the requirement to recognize a deferred tax liability for equity method investments when a foreign subsidiary becomes an equity method investment; exception to the ability not to recognize a deferred tax liability for a foreign subsidiary when a foreign equity method investment becomes a subsidiary; exception to the general methodology for calculating income taxes in an interim period when a year-to-date loss exceeds the anticipated loss for the year. There are also additional areas of guidance in regards to: franchise and other taxes partially based on income and the interim recognition of enactment of tax laws and rate changes. The provisions of this ASU are effective for years beginning after December 15, 2020, with early adoption permitted. We are currently evaluating the impact of this ASU on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3" w:name="page34"/>
    <w:bookmarkEnd w:id="33"/>
    <w:p>
      <w:pPr>
        <w:ind w:right="20" w:firstLine="648"/>
        <w:spacing w:after="0" w:line="290" w:lineRule="auto"/>
        <w:rPr>
          <w:sz w:val="20"/>
          <w:szCs w:val="20"/>
          <w:color w:val="auto"/>
        </w:rPr>
      </w:pPr>
      <w:r>
        <w:rPr>
          <w:rFonts w:ascii="Arial" w:cs="Arial" w:eastAsia="Arial" w:hAnsi="Arial"/>
          <w:sz w:val="16"/>
          <w:szCs w:val="16"/>
          <w:color w:val="auto"/>
        </w:rPr>
        <w:t>With respect to the unaudited condensed consolidated financial information of Raytheon Technologies for the quarters ended March 31, 2020 and 2019, PricewaterhouseCoopers LLP (PricewaterhouseCoopers) reported that it has applied limited procedures in accordance with professional standards for a review of such information. However, its report dated May 7, 2020, appearing below, states that the firm did not audit and does not express an opinion on that unaudited condensed consolidated financial information. PricewaterhouseCoopers has not carried out any significant or additional audit tests beyond those that would have been necessary if their report had not been included. Accordingly, the degree of reliance on its report on such information should be restricted in light of the limited nature of the review procedures applied. PricewaterhouseCoopers is not subject to the liability provisions of Section 11 of the Securities Act of 1933, as amended (the Act) for its report on the unaudited condensed consolidated financial information because that report is not a "report" or a "part" of a registration statement prepared or certified by PricewaterhouseCoopers within the meaning of Sections 7 and 11 of the Act.</w:t>
      </w:r>
    </w:p>
    <w:p>
      <w:pPr>
        <w:spacing w:after="0" w:line="200" w:lineRule="exact"/>
        <w:rPr>
          <w:sz w:val="20"/>
          <w:szCs w:val="20"/>
          <w:color w:val="auto"/>
        </w:rPr>
      </w:pPr>
    </w:p>
    <w:p>
      <w:pPr>
        <w:spacing w:after="0" w:line="343"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To the Shareowners and Board of Directors of Raytheon Technologies Corporation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Review of Interim Financial Information</w:t>
      </w:r>
    </w:p>
    <w:p>
      <w:pPr>
        <w:spacing w:after="0" w:line="200" w:lineRule="exact"/>
        <w:rPr>
          <w:sz w:val="20"/>
          <w:szCs w:val="20"/>
          <w:color w:val="auto"/>
        </w:rPr>
      </w:pPr>
    </w:p>
    <w:p>
      <w:pPr>
        <w:spacing w:after="0" w:line="282"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We have reviewed the accompanying condensed consolidated balance sheet of Raytheon Technologies Corporation and its subsidiaries (the “Company”) as of March 31, 2020, and the related condensed consolidated statements of operations, of comprehensive (loss) income, of changes in equity and of cash flows for the three-month periods ended March 31, 2020 and 2019, including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spacing w:after="0" w:line="201" w:lineRule="exact"/>
        <w:rPr>
          <w:sz w:val="20"/>
          <w:szCs w:val="20"/>
          <w:color w:val="auto"/>
        </w:rPr>
      </w:pPr>
    </w:p>
    <w:p>
      <w:pPr>
        <w:ind w:right="140"/>
        <w:spacing w:after="0" w:line="276" w:lineRule="auto"/>
        <w:rPr>
          <w:sz w:val="20"/>
          <w:szCs w:val="20"/>
          <w:color w:val="auto"/>
        </w:rPr>
      </w:pPr>
      <w:r>
        <w:rPr>
          <w:rFonts w:ascii="Arial" w:cs="Arial" w:eastAsia="Arial" w:hAnsi="Arial"/>
          <w:sz w:val="16"/>
          <w:szCs w:val="16"/>
          <w:color w:val="auto"/>
        </w:rPr>
        <w:t>We have previously audited, in accordance with the standards of the Public Company Accounting Oversight Board (United States), the consolidated balance sheet of the Company as of December 31, 2019, and the related consolidated statements of operations, of comprehensive income, of changes in equity and of cash flows for the year then ended (not presented herein), and in our report dated February 6, 2020, which included a paragraph describing a change in the manner of accounting for leases in the 2019 financial statements, we expressed an unqualified opinion on those consolidated financial statements. In our opinion, the information set forth in the accompanying condensed consolidated balance sheet information as of December 31, 2019 is fairly stated, in all material respects, in relation to the consolidated balance sheet from which it has been derived.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Review Results</w:t>
      </w:r>
    </w:p>
    <w:p>
      <w:pPr>
        <w:spacing w:after="0" w:line="23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This interim financial information is the responsibility of the Company’s management.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We conducted our review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Hartford, CT</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May 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jc w:val="both"/>
        <w:ind w:right="160" w:firstLine="405"/>
        <w:spacing w:after="0" w:line="311" w:lineRule="auto"/>
        <w:rPr>
          <w:sz w:val="20"/>
          <w:szCs w:val="20"/>
          <w:color w:val="auto"/>
        </w:rPr>
      </w:pPr>
      <w:r>
        <w:rPr>
          <w:rFonts w:ascii="Arial" w:cs="Arial" w:eastAsia="Arial" w:hAnsi="Arial"/>
          <w:sz w:val="16"/>
          <w:szCs w:val="16"/>
          <w:color w:val="auto"/>
        </w:rPr>
        <w:t>We are a global provider of high technology products and services to the building systems and aerospace industries. Our operations for the periods presented herein are classified into four principal business segments: Otis, Carrier, Pratt &amp; Whitney, and Collins Aerospace Systems. Otis and Carrier are referred to as the "commercial businesses," while Pratt &amp; Whitney and Collins Aerospace Systems are referred to as the "aerospace businesses."</w:t>
      </w:r>
    </w:p>
    <w:p>
      <w:pPr>
        <w:spacing w:after="0" w:line="41" w:lineRule="exact"/>
        <w:rPr>
          <w:sz w:val="20"/>
          <w:szCs w:val="20"/>
          <w:color w:val="auto"/>
        </w:rPr>
      </w:pPr>
    </w:p>
    <w:p>
      <w:pPr>
        <w:ind w:firstLine="567"/>
        <w:spacing w:after="0" w:line="270" w:lineRule="auto"/>
        <w:rPr>
          <w:sz w:val="20"/>
          <w:szCs w:val="20"/>
          <w:color w:val="auto"/>
        </w:rPr>
      </w:pPr>
      <w:r>
        <w:rPr>
          <w:rFonts w:ascii="Arial" w:cs="Arial" w:eastAsia="Arial" w:hAnsi="Arial"/>
          <w:sz w:val="17"/>
          <w:szCs w:val="17"/>
          <w:i w:val="1"/>
          <w:iCs w:val="1"/>
          <w:color w:val="auto"/>
        </w:rPr>
        <w:t xml:space="preserve">Separation Transactions and Distributions. </w:t>
      </w:r>
      <w:r>
        <w:rPr>
          <w:rFonts w:ascii="Arial" w:cs="Arial" w:eastAsia="Arial" w:hAnsi="Arial"/>
          <w:sz w:val="17"/>
          <w:szCs w:val="17"/>
          <w:color w:val="auto"/>
        </w:rPr>
        <w:t>On April 2, 2020, United Technologies Corporation (“UTC”) (since renamed Raytheon Technologies</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 completed the previously announced separation of its business into three independent, publicly traded companies – UTC, Carrier Global Corporation (“Carrier”) and Otis Worldwide Corporation (“Otis”) (the “Separation”). The Separation was effected by the distributions (the “Distributions”) of all of the outstanding shares of Carrier common stock and all of the outstanding shares of Otis common stock to UTC shareowners who held shares of UTC common stock as of the close of business on March 19, 2020, the record date for the Distributions. UTC distributed 866,158,910 and 433,079,455 shares of common stock of Carrier and Otis, respectively in the Distributions, which was effective at 12:01 a.m., Eastern Time, on April 3, 2020. The financial statements of Raytheon Technologies Corporation for the period ended and as of March 31, 2020 include the financial position and results of Otis and Carrier. However, with the completion of the Separation Transactions and Distributions, the historical results of Otis and Carrier will be presented as discontinued operations in our second quarter financial statements.</w:t>
      </w:r>
    </w:p>
    <w:p>
      <w:pPr>
        <w:spacing w:after="0" w:line="73" w:lineRule="exact"/>
        <w:rPr>
          <w:sz w:val="20"/>
          <w:szCs w:val="20"/>
          <w:color w:val="auto"/>
        </w:rPr>
      </w:pPr>
    </w:p>
    <w:p>
      <w:pPr>
        <w:ind w:right="120" w:firstLine="567"/>
        <w:spacing w:after="0" w:line="259" w:lineRule="auto"/>
        <w:rPr>
          <w:sz w:val="20"/>
          <w:szCs w:val="20"/>
          <w:color w:val="auto"/>
        </w:rPr>
      </w:pPr>
      <w:r>
        <w:rPr>
          <w:rFonts w:ascii="Arial" w:cs="Arial" w:eastAsia="Arial" w:hAnsi="Arial"/>
          <w:sz w:val="18"/>
          <w:szCs w:val="18"/>
          <w:i w:val="1"/>
          <w:iCs w:val="1"/>
          <w:color w:val="auto"/>
        </w:rPr>
        <w:t xml:space="preserve">Raytheon Merger. </w:t>
      </w:r>
      <w:r>
        <w:rPr>
          <w:rFonts w:ascii="Arial" w:cs="Arial" w:eastAsia="Arial" w:hAnsi="Arial"/>
          <w:sz w:val="18"/>
          <w:szCs w:val="18"/>
          <w:color w:val="auto"/>
        </w:rPr>
        <w:t>On April 3, 2020, pursuant to an Agreement and Plan of Merger dated June 9, 2019, as amended, UTC and Raytheon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("Raytheon") completed their previously announced all-stock merger of equals transaction (the "Raytheon Merger"), following the completion by UTC of its previously announced Separation Transactions and Distributions. Upon closing of the Raytheon Merger, UTC changed its name to “Raytheon Technologies Corporation”.</w:t>
      </w:r>
    </w:p>
    <w:p>
      <w:pPr>
        <w:spacing w:after="0" w:line="25" w:lineRule="exact"/>
        <w:rPr>
          <w:sz w:val="20"/>
          <w:szCs w:val="20"/>
          <w:color w:val="auto"/>
        </w:rPr>
      </w:pPr>
    </w:p>
    <w:p>
      <w:pPr>
        <w:ind w:right="260" w:firstLine="567"/>
        <w:spacing w:after="0" w:line="254" w:lineRule="auto"/>
        <w:rPr>
          <w:sz w:val="20"/>
          <w:szCs w:val="20"/>
          <w:color w:val="auto"/>
        </w:rPr>
      </w:pPr>
      <w:r>
        <w:rPr>
          <w:rFonts w:ascii="Arial" w:cs="Arial" w:eastAsia="Arial" w:hAnsi="Arial"/>
          <w:sz w:val="18"/>
          <w:szCs w:val="18"/>
          <w:color w:val="auto"/>
        </w:rPr>
        <w:t>Unless the context otherwise requires, the terms “we,” “our,” “us,” “the Company”, “Raytheon Technologies", and "RTC" mean United Technologies Corporation and its subsidiaries when referring to periods prior to the Raytheon Merger and to the combined company, Raytheon Technologies Corporation, when referring to periods after the Raytheon Merger. Unless the context otherwise requires, the terms "Raytheon Company," "Raytheon," or "RTN" mean Raytheon Company and its subsidiaries prior to the Raytheon merger. The financial statements of Raytheon Technologies Corporation for the period ended and as of March 31, 2020 include the financial position and results of Otis and Carrier and do not include the financial position or operations of Raytheon since the Separation Transactions, the Distributions and the Raytheon Merger occurred subsequent to the end of the reporting period.</w:t>
      </w:r>
    </w:p>
    <w:p>
      <w:pPr>
        <w:spacing w:after="0" w:line="33" w:lineRule="exact"/>
        <w:rPr>
          <w:sz w:val="20"/>
          <w:szCs w:val="20"/>
          <w:color w:val="auto"/>
        </w:rPr>
      </w:pPr>
    </w:p>
    <w:p>
      <w:pPr>
        <w:ind w:right="100" w:firstLine="567"/>
        <w:spacing w:after="0" w:line="286" w:lineRule="auto"/>
        <w:rPr>
          <w:rFonts w:ascii="Arial" w:cs="Arial" w:eastAsia="Arial" w:hAnsi="Arial"/>
          <w:sz w:val="17"/>
          <w:szCs w:val="17"/>
          <w:color w:val="auto"/>
        </w:rPr>
      </w:pPr>
      <w:r>
        <w:rPr>
          <w:rFonts w:ascii="Arial" w:cs="Arial" w:eastAsia="Arial" w:hAnsi="Arial"/>
          <w:sz w:val="17"/>
          <w:szCs w:val="17"/>
          <w:color w:val="auto"/>
        </w:rPr>
        <w:t xml:space="preserve">The current status of significant factors affecting our business environment in 2020 is discussed below. For additional discussion, refer to the "Business Overview" section in Management's Discussion and Analysis of Financial Condition and Results of Operations (“MD&amp;A”) in our 2019 Annual Report, which is incorporated by reference in our 2019 </w:t>
      </w:r>
      <w:hyperlink r:id="rId62">
        <w:r>
          <w:rPr>
            <w:rFonts w:ascii="Arial" w:cs="Arial" w:eastAsia="Arial" w:hAnsi="Arial"/>
            <w:sz w:val="17"/>
            <w:szCs w:val="17"/>
            <w:u w:val="single" w:color="auto"/>
            <w:color w:val="0000FF"/>
          </w:rPr>
          <w:t>Form 10-K</w:t>
        </w:r>
      </w:hyperlink>
      <w:r>
        <w:rPr>
          <w:rFonts w:ascii="Arial" w:cs="Arial" w:eastAsia="Arial" w:hAnsi="Arial"/>
          <w:sz w:val="17"/>
          <w:szCs w:val="17"/>
          <w:color w:val="auto"/>
        </w:rPr>
        <w:t>, and the “Risk Factors” in Part II, Item IA of this Form 10-Q.</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General</w:t>
      </w:r>
    </w:p>
    <w:p>
      <w:pPr>
        <w:spacing w:after="0" w:line="117" w:lineRule="exact"/>
        <w:rPr>
          <w:sz w:val="20"/>
          <w:szCs w:val="20"/>
          <w:color w:val="auto"/>
        </w:rPr>
      </w:pPr>
    </w:p>
    <w:p>
      <w:pPr>
        <w:ind w:right="100" w:firstLine="445"/>
        <w:spacing w:after="0" w:line="275" w:lineRule="auto"/>
        <w:rPr>
          <w:sz w:val="20"/>
          <w:szCs w:val="20"/>
          <w:color w:val="auto"/>
        </w:rPr>
      </w:pPr>
      <w:r>
        <w:rPr>
          <w:rFonts w:ascii="Arial" w:cs="Arial" w:eastAsia="Arial" w:hAnsi="Arial"/>
          <w:sz w:val="17"/>
          <w:szCs w:val="17"/>
          <w:color w:val="auto"/>
        </w:rPr>
        <w:t>Our worldwide operations can be affected by industrial, economic and political factors on both a regional and global level. Our operations include original equipment manufacturing (OEM) and extensive related aftermarket parts and services in both our commercial and aerospace businesses. Our business mix also reflects the combination of shorter cycles at Carrier and in our commercial aerospace spares businesses, and longer cycles at Otis and in our aerospace OEM and aftermarket maintenance businesses. Our customers are in the public and private sectors, and our businesses reflect an extensive geographic diversification that has evolved with continued globalization.</w:t>
      </w:r>
    </w:p>
    <w:p>
      <w:pPr>
        <w:spacing w:after="0" w:line="68" w:lineRule="exact"/>
        <w:rPr>
          <w:sz w:val="20"/>
          <w:szCs w:val="20"/>
          <w:color w:val="auto"/>
        </w:rPr>
      </w:pPr>
    </w:p>
    <w:p>
      <w:pPr>
        <w:ind w:right="160" w:firstLine="445"/>
        <w:spacing w:after="0" w:line="279" w:lineRule="auto"/>
        <w:rPr>
          <w:sz w:val="20"/>
          <w:szCs w:val="20"/>
          <w:color w:val="auto"/>
        </w:rPr>
      </w:pPr>
      <w:r>
        <w:rPr>
          <w:rFonts w:ascii="Arial" w:cs="Arial" w:eastAsia="Arial" w:hAnsi="Arial"/>
          <w:sz w:val="17"/>
          <w:szCs w:val="17"/>
          <w:color w:val="auto"/>
        </w:rPr>
        <w:t>Our military businesses' sales are affected by U.S. Department of Defense budget and spending levels, changes in market demand and the global political environment. Total sales to the U.S. Government were $2.9 billion and $2.4 billion for the quarters ended March 31, 2020 and 2019, or 16% and 13% of total Raytheon Technologies sales for those periods, respectively. Our participation in long-term production, development and sustainment programs for the U.S. Government has and is expected to contribute positively to our results in 2020.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Impact of the COVID-19 pandemic on first quarter results and forward looking impacts</w:t>
      </w:r>
    </w:p>
    <w:p>
      <w:pPr>
        <w:spacing w:after="0" w:line="50" w:lineRule="exact"/>
        <w:rPr>
          <w:sz w:val="20"/>
          <w:szCs w:val="20"/>
          <w:color w:val="auto"/>
        </w:rPr>
      </w:pPr>
    </w:p>
    <w:p>
      <w:pPr>
        <w:ind w:right="40" w:firstLine="567"/>
        <w:spacing w:after="0" w:line="301" w:lineRule="auto"/>
        <w:rPr>
          <w:sz w:val="20"/>
          <w:szCs w:val="20"/>
          <w:color w:val="auto"/>
        </w:rPr>
      </w:pPr>
      <w:r>
        <w:rPr>
          <w:rFonts w:ascii="Arial" w:cs="Arial" w:eastAsia="Arial" w:hAnsi="Arial"/>
          <w:sz w:val="16"/>
          <w:szCs w:val="16"/>
          <w:color w:val="auto"/>
        </w:rPr>
        <w:t>In March 2020, the coronavirus disease 2019 ("COVID-19") was declared a pandemic by the World Health Organization and a national emergency by the U.S. Government. The pandemic has negatively affected the U.S. and global economy, disrupted global supply chains and financial markets, and resulted in significant travel restrictions, including mandated facility closures and shelter-in-place orders in numerous jurisdictions around the world. Raytheon Technologies is taking all prudent measures to protect the health and safety of our employees, such as practicing social distancing, performing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12" w:right="379" w:bottom="1440" w:gutter="0" w:footer="0" w:header="0"/>
        </w:sectPr>
      </w:pPr>
    </w:p>
    <w:bookmarkStart w:id="35" w:name="page36"/>
    <w:bookmarkEnd w:id="35"/>
    <w:p>
      <w:pPr>
        <w:ind w:right="340"/>
        <w:spacing w:after="0" w:line="316" w:lineRule="auto"/>
        <w:rPr>
          <w:sz w:val="20"/>
          <w:szCs w:val="20"/>
          <w:color w:val="auto"/>
        </w:rPr>
      </w:pPr>
      <w:r>
        <w:rPr>
          <w:rFonts w:ascii="Arial" w:cs="Arial" w:eastAsia="Arial" w:hAnsi="Arial"/>
          <w:sz w:val="16"/>
          <w:szCs w:val="16"/>
          <w:color w:val="auto"/>
        </w:rPr>
        <w:t>deep cleaning in all of our facilities, and enabling our employees to work from home where possible. We have also taken appropriate actions to help support our communities in addressing the challenges posed by the pandemic, including the production and donation of personal protective equipment.</w:t>
      </w:r>
    </w:p>
    <w:p>
      <w:pPr>
        <w:spacing w:after="0" w:line="2" w:lineRule="exact"/>
        <w:rPr>
          <w:sz w:val="20"/>
          <w:szCs w:val="20"/>
          <w:color w:val="auto"/>
        </w:rPr>
      </w:pPr>
    </w:p>
    <w:p>
      <w:pPr>
        <w:ind w:right="160" w:firstLine="567"/>
        <w:spacing w:after="0" w:line="295" w:lineRule="auto"/>
        <w:rPr>
          <w:sz w:val="20"/>
          <w:szCs w:val="20"/>
          <w:color w:val="auto"/>
        </w:rPr>
      </w:pPr>
      <w:r>
        <w:rPr>
          <w:rFonts w:ascii="Arial" w:cs="Arial" w:eastAsia="Arial" w:hAnsi="Arial"/>
          <w:sz w:val="16"/>
          <w:szCs w:val="16"/>
          <w:color w:val="auto"/>
        </w:rPr>
        <w:t>Our business, operations and the industries in which we operate have been significantly impacted by public and private sector policies and initiatives in the U.S. and worldwide to address the transmission of COVID-19, such as the imposition of travel restrictions and the adoption of remote working. We began to experience issues related to COVID-19 in the first quarter, primarily related to a limited number of facility closures, less than full staffing, and disruptions in supplier deliveries, most significantly in our Aerospace businesses. However, our customers continued to receive our products during the quarter and the outbreak did not have a significant impact on our operating results for the three months ended March 31, 2020.</w:t>
      </w:r>
    </w:p>
    <w:p>
      <w:pPr>
        <w:spacing w:after="0" w:line="3" w:lineRule="exact"/>
        <w:rPr>
          <w:sz w:val="20"/>
          <w:szCs w:val="20"/>
          <w:color w:val="auto"/>
        </w:rPr>
      </w:pPr>
    </w:p>
    <w:p>
      <w:pPr>
        <w:ind w:right="40" w:firstLine="567"/>
        <w:spacing w:after="0" w:line="286" w:lineRule="auto"/>
        <w:rPr>
          <w:sz w:val="20"/>
          <w:szCs w:val="20"/>
          <w:color w:val="auto"/>
        </w:rPr>
      </w:pPr>
      <w:r>
        <w:rPr>
          <w:rFonts w:ascii="Arial" w:cs="Arial" w:eastAsia="Arial" w:hAnsi="Arial"/>
          <w:sz w:val="16"/>
          <w:szCs w:val="16"/>
          <w:color w:val="auto"/>
        </w:rPr>
        <w:t>Subsequent to the quarter end, the continued disruption to air travel and commercial activities and the significant restrictions and limitations on businesses, particularly within the aerospace and commercial airlines industries, have negatively impacted global supply, demand and distribution capabilities. In particular, the significant decrease in air travel resulting from the COVID-19 pandemic is adversely affecting our airline and airframer customers, and their demand for the products and services of our Aerospace businesses. As of April 14, 2020, the International Air Transport Association had estimated that RPMs for the year ended December 31, 2020 could decline by 48% in comparison to the prior year due to the pandemic. As a result, our airline customers have reported significant reductions in fleet utilization, aircraft grounding and unplanned retirements, and have deferred and, in some cases, cancelled new aircraft deliveries. Airlines are shifting to cash conservation behaviors such as deferring engine maintenance, requesting extended payment terms, deferring delivery of new aircraft and spare engines and requesting discounts on engine maintenance. Additionally, we are seeing purchase order declines in line with publically communicated aircraft production volumes as OEM customers delay and cancel orders. We continue to monitor these trends and are working closely with our customers. We are actively mitigating costs and adjusting production schedules to accommodate these declines in demand. We have also begun taking actions to preserve capital and protect the long-term needs of our businesses, including cutting discretionary spending, significantly reducing capital expenditures and research and development spend, deferring merit increases, freezing non-essential hiring, repositioning employees to defense work, and furloughing a large percentage of our employees. Thus far, while some of the actions have impacted the former Raytheon Company businesses, most of these actions have been taken at our Aerospace businesses. We’re monitoring the environment closely and are prepared to take further actions if necessary. However, given the significant reduction in air travel, increased numbers of planes temporarily grounded, and continued travel restrictions that have resulted from the pandemic, we expect our future operating results, particularly those of our Aerospace businesses to be significantly impacted starting in the second quarter of 2020.</w:t>
      </w:r>
    </w:p>
    <w:p>
      <w:pPr>
        <w:spacing w:after="0" w:line="12" w:lineRule="exact"/>
        <w:rPr>
          <w:sz w:val="20"/>
          <w:szCs w:val="20"/>
          <w:color w:val="auto"/>
        </w:rPr>
      </w:pPr>
    </w:p>
    <w:p>
      <w:pPr>
        <w:ind w:firstLine="567"/>
        <w:spacing w:after="0" w:line="272" w:lineRule="auto"/>
        <w:rPr>
          <w:sz w:val="20"/>
          <w:szCs w:val="20"/>
          <w:color w:val="auto"/>
        </w:rPr>
      </w:pPr>
      <w:r>
        <w:rPr>
          <w:rFonts w:ascii="Arial" w:cs="Arial" w:eastAsia="Arial" w:hAnsi="Arial"/>
          <w:sz w:val="17"/>
          <w:szCs w:val="17"/>
          <w:color w:val="auto"/>
        </w:rPr>
        <w:t>The financial impact of the COVID-19 pandemic cannot be reasonably estimated at this time as its impact depends on future developments, which are highly uncertain and cannot be predicted. While the long term outlook for the aerospace industry remains positive due the fundamental drivers of air travel demand, there is significant uncertainty with respect to when commercial air traffic levels will begin to recover, and whether and at what point capacity will return to and/or exceed pre-COVID-19 levels. Estimates of a return to pre-COVID-19 levels have generally fallen in the range of two or more years and are based on a wide-range of assumptions. New information may emerge concerning the scope, severity and duration of the COVID-19 pandemic, actions to contain its spread or treat its impact, and governmental, business and individuals’ actions taken in response to the pandemic (including restrictions and limitations on travel and transportation) among others.</w:t>
      </w:r>
    </w:p>
    <w:p>
      <w:pPr>
        <w:spacing w:after="0" w:line="15" w:lineRule="exact"/>
        <w:rPr>
          <w:sz w:val="20"/>
          <w:szCs w:val="20"/>
          <w:color w:val="auto"/>
        </w:rPr>
      </w:pPr>
    </w:p>
    <w:p>
      <w:pPr>
        <w:ind w:firstLine="567"/>
        <w:spacing w:after="0" w:line="299" w:lineRule="auto"/>
        <w:rPr>
          <w:sz w:val="20"/>
          <w:szCs w:val="20"/>
          <w:color w:val="auto"/>
        </w:rPr>
      </w:pPr>
      <w:r>
        <w:rPr>
          <w:rFonts w:ascii="Arial" w:cs="Arial" w:eastAsia="Arial" w:hAnsi="Arial"/>
          <w:sz w:val="16"/>
          <w:szCs w:val="16"/>
          <w:color w:val="auto"/>
        </w:rPr>
        <w:t>We considered the outbreak and subsequent impacts to be a trigger to reassess our goodwill and intangibles valuations as well as significant assumptions of future income from our underlying assets and potential changes in our liabilities. In order to evaluate the impact, we had to make forecast assumptions of future business activity that are subject to a wide range of uncertainties, including those noted above. Based upon the dynamic environment, we will continue to evaluate in future periods whether these assumptions continue to be reasonable and will update the forecasts as needed.</w:t>
      </w:r>
    </w:p>
    <w:p>
      <w:pPr>
        <w:spacing w:after="0" w:line="1" w:lineRule="exact"/>
        <w:rPr>
          <w:sz w:val="20"/>
          <w:szCs w:val="20"/>
          <w:color w:val="auto"/>
        </w:rPr>
      </w:pPr>
    </w:p>
    <w:p>
      <w:pPr>
        <w:ind w:firstLine="567"/>
        <w:spacing w:after="0" w:line="255" w:lineRule="auto"/>
        <w:rPr>
          <w:sz w:val="20"/>
          <w:szCs w:val="20"/>
          <w:color w:val="auto"/>
        </w:rPr>
      </w:pPr>
      <w:r>
        <w:rPr>
          <w:rFonts w:ascii="Arial" w:cs="Arial" w:eastAsia="Arial" w:hAnsi="Arial"/>
          <w:sz w:val="18"/>
          <w:szCs w:val="18"/>
          <w:color w:val="auto"/>
        </w:rPr>
        <w:t>Based upon our analysis, we have determined that none of our goodwill has been impaired as of March 31, 2020. The reporting unit that was closest to impairment was a reporting unit at Collins Aerospace Systems with a fair value in excess of net book value, including goodwill, of approximately $1.5 billion or 15%. The Company did however record a total of $144 million ($82 million at Collins Aerospace Systems and $62 million at Pratt &amp; Whitney) in write-downs of assets in our aerospace businesses primarily related to the impairment of a trade name, increased estimated credit losses, and the impact of lower estimated future customer activity that reduced our assumptions of variable consideration and caused a write-off of manufacturing overhead in inventory in certain closed facilities.</w:t>
      </w:r>
    </w:p>
    <w:p>
      <w:pPr>
        <w:spacing w:after="0" w:line="30" w:lineRule="exact"/>
        <w:rPr>
          <w:sz w:val="20"/>
          <w:szCs w:val="20"/>
          <w:color w:val="auto"/>
        </w:rPr>
      </w:pPr>
    </w:p>
    <w:p>
      <w:pPr>
        <w:ind w:right="80" w:firstLine="567"/>
        <w:spacing w:after="0" w:line="257" w:lineRule="auto"/>
        <w:rPr>
          <w:sz w:val="20"/>
          <w:szCs w:val="20"/>
          <w:color w:val="auto"/>
        </w:rPr>
      </w:pPr>
      <w:r>
        <w:rPr>
          <w:rFonts w:ascii="Arial" w:cs="Arial" w:eastAsia="Arial" w:hAnsi="Arial"/>
          <w:sz w:val="18"/>
          <w:szCs w:val="18"/>
          <w:color w:val="auto"/>
        </w:rPr>
        <w:t>Although the impact of COVID 19 on our commercial businesses and markets will be significant, we currently believe we have sufficient liquidity to withstand the potential impacts of COVID-19. With the completion of the Separation Transactions, the Distributions and the Raytheon Merger, we have a balanced and diversified portfolio of both aerospace and defense businesses which we believe will help mitigate the impacts of the COVID-19 pandemic and future business cycles. The former Raytheon Company businesses have not experienced significant facility closures and are taking all prudent measures similar to those discussed above.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04"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Government legislation, policies and regulations can have a negative impact on our worldwide operations. Government regulation of refrigerants and energy efficiency standards, elevator safety codes and fire protection regulations are important to our commercial businesses. Government and market-driven safety and performance regulations, restrictions on aircraft engine noise and emissions, and government procurement practices can impact our aerospace and defense businesses.</w:t>
      </w:r>
    </w:p>
    <w:p>
      <w:pPr>
        <w:spacing w:after="0" w:line="79" w:lineRule="exact"/>
        <w:rPr>
          <w:sz w:val="20"/>
          <w:szCs w:val="20"/>
          <w:color w:val="auto"/>
        </w:rPr>
      </w:pPr>
    </w:p>
    <w:p>
      <w:pPr>
        <w:ind w:right="20" w:firstLine="445"/>
        <w:spacing w:after="0" w:line="270" w:lineRule="auto"/>
        <w:rPr>
          <w:sz w:val="20"/>
          <w:szCs w:val="20"/>
          <w:color w:val="auto"/>
        </w:rPr>
      </w:pPr>
      <w:r>
        <w:rPr>
          <w:rFonts w:ascii="Arial" w:cs="Arial" w:eastAsia="Arial" w:hAnsi="Arial"/>
          <w:sz w:val="17"/>
          <w:szCs w:val="17"/>
          <w:color w:val="auto"/>
        </w:rPr>
        <w:t>Global economic and political conditions, changes in raw material and commodity prices, interest rates, foreign currency exchange rates, energy costs, levels of end market demand in construction, levels of air travel, the financial condition of commercial airlines, and the impact from natural disasters and weather conditions create uncertainties that could impact our earnings outlook for the remainder of 2020. With regard to political conditions, the U.S. Government suspended Turkey’s participation in the F-35 Joint Strike Fighter program because Turkey accepted delivery of the Russian-built S-400 air and missile defense system. The U.S. has imposed, and may impose additional, sanctions on Turkey as a result of this or other political disputes. Turkish companies supply components, some of which are sole-sourced, to our aerospace businesses for commercial and military engines and aerospace products. Depending upon the scope and timing of U.S. sanctions on Turkey and potential reciprocal actions, if any, such sanctions or actions could impact our aerospace businesses’ sources of supply and could have a material adverse effect on our results of operations, cash flows or financial condition. See Part II, Item 1A, "Risk Factors" in this Form 10-Q for further discussion.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Acquisition Activity</w:t>
      </w:r>
    </w:p>
    <w:p>
      <w:pPr>
        <w:spacing w:after="0" w:line="117" w:lineRule="exact"/>
        <w:rPr>
          <w:sz w:val="20"/>
          <w:szCs w:val="20"/>
          <w:color w:val="auto"/>
        </w:rPr>
      </w:pPr>
    </w:p>
    <w:p>
      <w:pPr>
        <w:ind w:right="100" w:firstLine="445"/>
        <w:spacing w:after="0" w:line="284" w:lineRule="auto"/>
        <w:rPr>
          <w:sz w:val="20"/>
          <w:szCs w:val="20"/>
          <w:color w:val="auto"/>
        </w:rPr>
      </w:pPr>
      <w:r>
        <w:rPr>
          <w:rFonts w:ascii="Arial" w:cs="Arial" w:eastAsia="Arial" w:hAnsi="Arial"/>
          <w:sz w:val="16"/>
          <w:szCs w:val="16"/>
          <w:color w:val="auto"/>
        </w:rPr>
        <w:t>Our growth strategy contemplates acquisitions. Our operations and results can be affected by the rate and extent to which appropriate acquisition opportunities are available, acquired businesses are effectively integrated, and anticipated synergies or cost savings are achieved. During the quarter ended March 31, 2020, our investment in business acquisitions was $5 million. As previously discussed, on April 3, 2020 the Company completed the Raytheon Merger. During the quarter ended March 31, 2020, the Company incurred transaction expenses associated with the Raytheon Merger of $29 million.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40" w:firstLine="445"/>
        <w:spacing w:after="0" w:line="272" w:lineRule="auto"/>
        <w:rPr>
          <w:rFonts w:ascii="Arial" w:cs="Arial" w:eastAsia="Arial" w:hAnsi="Arial"/>
          <w:sz w:val="17"/>
          <w:szCs w:val="17"/>
          <w:color w:val="auto"/>
        </w:rPr>
      </w:pPr>
      <w:r>
        <w:rPr>
          <w:rFonts w:ascii="Arial" w:cs="Arial" w:eastAsia="Arial" w:hAnsi="Arial"/>
          <w:sz w:val="17"/>
          <w:szCs w:val="17"/>
          <w:color w:val="auto"/>
        </w:rPr>
        <w:t xml:space="preserve">Preparation of our financial statements requires management to make estimates and assumptions that affect the reported amounts of assets, liabilities, sales and expenses. We believe the most complex and sensitive judgments, because of their significance to the Consolidated Financial Statements, result primarily from the need to make estimates about the effects of matters that are inherently uncertain. Management's Discussion and Analysis of Financial Condition and Results of Operations and Note 1 to the Consolidated Financial Statements in our 2019 Annual Report, incorporated by reference in our 2019 </w:t>
      </w:r>
      <w:hyperlink r:id="rId62">
        <w:r>
          <w:rPr>
            <w:rFonts w:ascii="Arial" w:cs="Arial" w:eastAsia="Arial" w:hAnsi="Arial"/>
            <w:sz w:val="17"/>
            <w:szCs w:val="17"/>
            <w:u w:val="single" w:color="auto"/>
            <w:color w:val="0000FF"/>
          </w:rPr>
          <w:t>Form 10-K</w:t>
        </w:r>
      </w:hyperlink>
      <w:r>
        <w:rPr>
          <w:rFonts w:ascii="Arial" w:cs="Arial" w:eastAsia="Arial" w:hAnsi="Arial"/>
          <w:sz w:val="17"/>
          <w:szCs w:val="17"/>
          <w:color w:val="auto"/>
        </w:rPr>
        <w:t>, describe the significant accounting estimates and policies used in preparation of the Consolidated Financial Statements. Actual results in these areas could differ from management's estimates. There have been no significant changes in our critical accounting estimates during the quarter ended March 31, 2020.</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Net Sales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4"/>
                <w:szCs w:val="14"/>
                <w:b w:val="1"/>
                <w:bCs w:val="1"/>
                <w:color w:val="auto"/>
              </w:rPr>
              <w:t>Quarter Ended March 31,</w:t>
            </w:r>
          </w:p>
        </w:tc>
        <w:tc>
          <w:tcPr>
            <w:tcW w:w="660" w:type="dxa"/>
            <w:vAlign w:val="bottom"/>
            <w:tcBorders>
              <w:bottom w:val="single" w:sz="8" w:color="auto"/>
            </w:tcBorders>
          </w:tcPr>
          <w:p>
            <w:pPr>
              <w:spacing w:after="0"/>
              <w:rPr>
                <w:sz w:val="16"/>
                <w:szCs w:val="16"/>
                <w:color w:val="auto"/>
              </w:rPr>
            </w:pPr>
          </w:p>
        </w:tc>
      </w:tr>
      <w:tr>
        <w:trPr>
          <w:trHeight w:val="196"/>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7"/>
                <w:szCs w:val="17"/>
                <w:color w:val="auto"/>
              </w:rPr>
            </w:pPr>
          </w:p>
        </w:tc>
      </w:tr>
      <w:tr>
        <w:trPr>
          <w:trHeight w:val="243"/>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18,210</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18,365</w:t>
            </w:r>
          </w:p>
        </w:tc>
      </w:tr>
      <w:tr>
        <w:trPr>
          <w:trHeight w:val="27"/>
        </w:trPr>
        <w:tc>
          <w:tcPr>
            <w:tcW w:w="79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factors contributing to the total percentage change year-over-year in total net sales for the Quarter ended March 31, 2020 are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CCEEFF"/>
            </w:tcBorders>
          </w:tcPr>
          <w:p>
            <w:pPr>
              <w:spacing w:after="0"/>
              <w:rPr>
                <w:sz w:val="16"/>
                <w:szCs w:val="16"/>
                <w:color w:val="auto"/>
              </w:rPr>
            </w:pPr>
          </w:p>
        </w:tc>
        <w:tc>
          <w:tcPr>
            <w:tcW w:w="334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Quarter Ended March 31, 2020</w:t>
            </w: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Organic change</w:t>
            </w:r>
          </w:p>
        </w:tc>
        <w:tc>
          <w:tcPr>
            <w:tcW w:w="3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3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7900" w:type="dxa"/>
            <w:vAlign w:val="bottom"/>
          </w:tcPr>
          <w:p>
            <w:pPr>
              <w:spacing w:after="0"/>
              <w:rPr>
                <w:sz w:val="2"/>
                <w:szCs w:val="2"/>
                <w:color w:val="auto"/>
              </w:rPr>
            </w:pPr>
          </w:p>
        </w:tc>
        <w:tc>
          <w:tcPr>
            <w:tcW w:w="33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Acquisitions and divestitures, net</w:t>
            </w:r>
          </w:p>
        </w:tc>
        <w:tc>
          <w:tcPr>
            <w:tcW w:w="3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Other</w:t>
            </w:r>
          </w:p>
        </w:tc>
        <w:tc>
          <w:tcPr>
            <w:tcW w:w="33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7900" w:type="dxa"/>
            <w:vAlign w:val="bottom"/>
            <w:tcBorders>
              <w:bottom w:val="single" w:sz="8" w:color="CCEEFF"/>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r>
      <w:tr>
        <w:trPr>
          <w:trHeight w:val="289"/>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 change</w:t>
            </w:r>
          </w:p>
        </w:tc>
        <w:tc>
          <w:tcPr>
            <w:tcW w:w="3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540" w:firstLine="445"/>
        <w:spacing w:after="0" w:line="263" w:lineRule="auto"/>
        <w:rPr>
          <w:sz w:val="20"/>
          <w:szCs w:val="20"/>
          <w:color w:val="auto"/>
        </w:rPr>
      </w:pPr>
      <w:r>
        <w:rPr>
          <w:rFonts w:ascii="Arial" w:cs="Arial" w:eastAsia="Arial" w:hAnsi="Arial"/>
          <w:sz w:val="18"/>
          <w:szCs w:val="18"/>
          <w:color w:val="auto"/>
        </w:rPr>
        <w:t>Net sales declined 1% during the quarter ended March 31, 2020 in comparison to the prior year, primarily reflecting the unfavorable impact of foreign currency translation. Organic sales growth of 12% at Pratt &amp; Whitney, driven by higher sales across all channels, was offset by organic sales declines at each of the other segments. Organic sales at Collins Aerospace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37" w:name="page38"/>
    <w:bookmarkEnd w:id="37"/>
    <w:p>
      <w:pPr>
        <w:jc w:val="both"/>
        <w:ind w:right="60"/>
        <w:spacing w:after="0" w:line="259" w:lineRule="auto"/>
        <w:rPr>
          <w:sz w:val="20"/>
          <w:szCs w:val="20"/>
          <w:color w:val="auto"/>
        </w:rPr>
      </w:pPr>
      <w:r>
        <w:rPr>
          <w:rFonts w:ascii="Arial" w:cs="Arial" w:eastAsia="Arial" w:hAnsi="Arial"/>
          <w:sz w:val="18"/>
          <w:szCs w:val="18"/>
          <w:color w:val="auto"/>
        </w:rPr>
        <w:t>Systems declined 1%, primarily driven by lower commercial aerospace OEM sales reflecting lower sales related to the Boeing 737 Max program, partially offset by higher military sales and higher commercial aerospace aftermarket sales. At Otis, organic sales declined 2% reflecting lower new equipment sales driven by declines in Asia and the Americas, partially offset by broad-based service sales growth. Organic sales at Carrier declined 9% driven by decreases in HVAC, refrigeration and fire &amp; security.</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Cost of Products and Services Sold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jc w:val="right"/>
              <w:ind w:right="636"/>
              <w:spacing w:after="0"/>
              <w:rPr>
                <w:sz w:val="20"/>
                <w:szCs w:val="20"/>
                <w:color w:val="auto"/>
              </w:rPr>
            </w:pPr>
            <w:r>
              <w:rPr>
                <w:rFonts w:ascii="Arial" w:cs="Arial" w:eastAsia="Arial" w:hAnsi="Arial"/>
                <w:sz w:val="14"/>
                <w:szCs w:val="14"/>
                <w:b w:val="1"/>
                <w:bCs w:val="1"/>
                <w:color w:val="auto"/>
              </w:rPr>
              <w:t>Quarter Ended March 31,</w:t>
            </w:r>
          </w:p>
        </w:tc>
        <w:tc>
          <w:tcPr>
            <w:tcW w:w="200" w:type="dxa"/>
            <w:vAlign w:val="bottom"/>
            <w:tcBorders>
              <w:bottom w:val="single" w:sz="8" w:color="auto"/>
            </w:tcBorders>
          </w:tcPr>
          <w:p>
            <w:pPr>
              <w:spacing w:after="0"/>
              <w:rPr>
                <w:sz w:val="16"/>
                <w:szCs w:val="16"/>
                <w:color w:val="auto"/>
              </w:rPr>
            </w:pPr>
          </w:p>
        </w:tc>
      </w:tr>
      <w:tr>
        <w:trPr>
          <w:trHeight w:val="196"/>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cost of products and services sold</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13,408</w:t>
            </w:r>
          </w:p>
        </w:tc>
        <w:tc>
          <w:tcPr>
            <w:tcW w:w="70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13,707</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Percentage of net sales</w:t>
            </w: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bl>
    <w:p>
      <w:pPr>
        <w:spacing w:after="0" w:line="121" w:lineRule="exact"/>
        <w:rPr>
          <w:sz w:val="20"/>
          <w:szCs w:val="20"/>
          <w:color w:val="auto"/>
        </w:rPr>
      </w:pPr>
    </w:p>
    <w:p>
      <w:pPr>
        <w:ind w:right="100" w:firstLine="445"/>
        <w:spacing w:after="0" w:line="276" w:lineRule="auto"/>
        <w:rPr>
          <w:sz w:val="20"/>
          <w:szCs w:val="20"/>
          <w:color w:val="auto"/>
        </w:rPr>
      </w:pPr>
      <w:r>
        <w:rPr>
          <w:rFonts w:ascii="Arial" w:cs="Arial" w:eastAsia="Arial" w:hAnsi="Arial"/>
          <w:sz w:val="18"/>
          <w:szCs w:val="18"/>
          <w:color w:val="auto"/>
        </w:rPr>
        <w:t>The factors contributing to the percentage change year-over-year for the quarter ended March 31, 2020 in total cost of products and services sold are as follows:</w:t>
      </w:r>
    </w:p>
    <w:p>
      <w:pPr>
        <w:sectPr>
          <w:pgSz w:w="11900" w:h="16838" w:orient="portrait"/>
          <w:cols w:equalWidth="0" w:num="1">
            <w:col w:w="11240"/>
          </w:cols>
          <w:pgMar w:left="320" w:top="1124" w:right="339" w:bottom="1440" w:gutter="0" w:footer="0" w:header="0"/>
        </w:sect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Organic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098030" cy="1797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098030" cy="17970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09803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Acquisitions and divestitures, net</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098030" cy="1974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098030" cy="197485"/>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 change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Quarter Ended March 31, 2020</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1 %</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w:t>
      </w:r>
    </w:p>
    <w:p>
      <w:pPr>
        <w:spacing w:after="0" w:line="7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57785</wp:posOffset>
            </wp:positionV>
            <wp:extent cx="14998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8320" w:space="720"/>
            <w:col w:w="2200"/>
          </w:cols>
          <w:pgMar w:left="320" w:top="1124" w:right="339" w:bottom="1440" w:gutter="0" w:footer="0" w:header="0"/>
          <w:type w:val="continuous"/>
        </w:sectPr>
      </w:pPr>
    </w:p>
    <w:p>
      <w:pPr>
        <w:ind w:right="60" w:firstLine="445"/>
        <w:spacing w:after="0" w:line="275" w:lineRule="auto"/>
        <w:rPr>
          <w:sz w:val="20"/>
          <w:szCs w:val="20"/>
          <w:color w:val="auto"/>
        </w:rPr>
      </w:pPr>
      <w:r>
        <w:rPr>
          <w:rFonts w:ascii="Arial" w:cs="Arial" w:eastAsia="Arial" w:hAnsi="Arial"/>
          <w:sz w:val="17"/>
          <w:szCs w:val="17"/>
          <w:color w:val="auto"/>
        </w:rPr>
        <w:t>Total cost of products and services sold for the quarter ended March 31, 2020 increased 1% organically as growth driven by the organic sales increase at Pratt &amp; Whitney was largely offset by the impact of declines in organic sales at Carrier and Otis. On an organic basis, Total cost of products and services sold at Collins Aerospace Systems was consistent with the prior year. The 1% decline in Acquisitions and divestitures, primarily reflects the impact of a prior year divestiture at Collins Aerospace Systems. The decline in Other of 1% reflects the absence of prior year inventory step-up amortization at Collins Aerospace Systems recorded in connection with the acquisition of Rockwell Collins.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Gross Margin</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jc w:val="right"/>
              <w:ind w:right="636"/>
              <w:spacing w:after="0"/>
              <w:rPr>
                <w:sz w:val="20"/>
                <w:szCs w:val="20"/>
                <w:color w:val="auto"/>
              </w:rPr>
            </w:pPr>
            <w:r>
              <w:rPr>
                <w:rFonts w:ascii="Arial" w:cs="Arial" w:eastAsia="Arial" w:hAnsi="Arial"/>
                <w:sz w:val="14"/>
                <w:szCs w:val="14"/>
                <w:b w:val="1"/>
                <w:bCs w:val="1"/>
                <w:color w:val="auto"/>
              </w:rPr>
              <w:t>Quarter Ended March 31,</w:t>
            </w:r>
          </w:p>
        </w:tc>
        <w:tc>
          <w:tcPr>
            <w:tcW w:w="200" w:type="dxa"/>
            <w:vAlign w:val="bottom"/>
            <w:tcBorders>
              <w:bottom w:val="single" w:sz="8" w:color="auto"/>
            </w:tcBorders>
          </w:tcPr>
          <w:p>
            <w:pPr>
              <w:spacing w:after="0"/>
              <w:rPr>
                <w:sz w:val="16"/>
                <w:szCs w:val="16"/>
                <w:color w:val="auto"/>
              </w:rPr>
            </w:pPr>
          </w:p>
        </w:tc>
      </w:tr>
      <w:tr>
        <w:trPr>
          <w:trHeight w:val="196"/>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4,802</w:t>
            </w:r>
          </w:p>
        </w:tc>
        <w:tc>
          <w:tcPr>
            <w:tcW w:w="70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4,658</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Percentage of net sales</w:t>
            </w: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bl>
    <w:p>
      <w:pPr>
        <w:spacing w:after="0" w:line="121" w:lineRule="exact"/>
        <w:rPr>
          <w:sz w:val="20"/>
          <w:szCs w:val="20"/>
          <w:color w:val="auto"/>
        </w:rPr>
      </w:pPr>
    </w:p>
    <w:p>
      <w:pPr>
        <w:ind w:right="120" w:firstLine="445"/>
        <w:spacing w:after="0" w:line="255" w:lineRule="auto"/>
        <w:rPr>
          <w:sz w:val="20"/>
          <w:szCs w:val="20"/>
          <w:color w:val="auto"/>
        </w:rPr>
      </w:pPr>
      <w:r>
        <w:rPr>
          <w:rFonts w:ascii="Arial" w:cs="Arial" w:eastAsia="Arial" w:hAnsi="Arial"/>
          <w:sz w:val="18"/>
          <w:szCs w:val="18"/>
          <w:color w:val="auto"/>
        </w:rPr>
        <w:t>The increase in gross margin as a percentage of sales for the quarter ended March 31, 2020 reflects a 310 basis point improvement at Collins Aerospace Systems primarily driven by the absence of prior year inventory step-up amortization recorded in connection with the acquisition of Rockwell Collins. Otis gross margin increased 110 basis points primarily driven by favorable new equipment margins and overall sales mix. Gross margin at Carrier increased 30 basis points as favorable material productivity and lower year-over-year commodity costs were largely offset by the impact of lower volumes and unfavorable mix. These increases were partially offset by a 50 basis point decline in gross margin at Pratt &amp; Whitney as a decline in product margins was largely offset by higher service margins.</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Research and Development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jc w:val="right"/>
              <w:ind w:right="634"/>
              <w:spacing w:after="0"/>
              <w:rPr>
                <w:sz w:val="20"/>
                <w:szCs w:val="20"/>
                <w:color w:val="auto"/>
              </w:rPr>
            </w:pPr>
            <w:r>
              <w:rPr>
                <w:rFonts w:ascii="Arial" w:cs="Arial" w:eastAsia="Arial" w:hAnsi="Arial"/>
                <w:sz w:val="14"/>
                <w:szCs w:val="14"/>
                <w:b w:val="1"/>
                <w:bCs w:val="1"/>
                <w:color w:val="auto"/>
              </w:rPr>
              <w:t>Quarter Ended March 31,</w:t>
            </w:r>
          </w:p>
        </w:tc>
        <w:tc>
          <w:tcPr>
            <w:tcW w:w="200" w:type="dxa"/>
            <w:vAlign w:val="bottom"/>
            <w:tcBorders>
              <w:bottom w:val="single" w:sz="8" w:color="auto"/>
            </w:tcBorders>
          </w:tcPr>
          <w:p>
            <w:pPr>
              <w:spacing w:after="0"/>
              <w:rPr>
                <w:sz w:val="16"/>
                <w:szCs w:val="16"/>
                <w:color w:val="auto"/>
              </w:rPr>
            </w:pPr>
          </w:p>
        </w:tc>
      </w:tr>
      <w:tr>
        <w:trPr>
          <w:trHeight w:val="196"/>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Company-funded</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70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Percentage of net sales</w:t>
            </w: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7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Customer-funded</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70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Percentage of net sales</w:t>
            </w: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bl>
    <w:p>
      <w:pPr>
        <w:spacing w:after="0" w:line="121"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Research and development spending is subject to the variable nature of program development schedules and, therefore, year-over-year fluctuations in spending levels are expected. The majority of the company-funded spending is incurred by the aerospace businesses. The year-over-year decrease (8%) in company-funded research and development for the quarter ended March 31, 2020 was driven by lower expenses across various programs at Pratt &amp; Whitney (5%) and Collins Aerospace</w:t>
      </w:r>
    </w:p>
    <w:p>
      <w:pPr>
        <w:sectPr>
          <w:pgSz w:w="11900" w:h="16838" w:orient="portrait"/>
          <w:cols w:equalWidth="0" w:num="1">
            <w:col w:w="11240"/>
          </w:cols>
          <w:pgMar w:left="320" w:top="112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type w:val="continuous"/>
        </w:sectPr>
      </w:pPr>
    </w:p>
    <w:bookmarkStart w:id="38" w:name="page39"/>
    <w:bookmarkEnd w:id="38"/>
    <w:p>
      <w:pPr>
        <w:ind w:right="80"/>
        <w:spacing w:after="0" w:line="277" w:lineRule="auto"/>
        <w:rPr>
          <w:sz w:val="20"/>
          <w:szCs w:val="20"/>
          <w:color w:val="auto"/>
        </w:rPr>
      </w:pPr>
      <w:r>
        <w:rPr>
          <w:rFonts w:ascii="Arial" w:cs="Arial" w:eastAsia="Arial" w:hAnsi="Arial"/>
          <w:sz w:val="18"/>
          <w:szCs w:val="18"/>
          <w:color w:val="auto"/>
        </w:rPr>
        <w:t>Systems (3%). For the quarter ended March 31, 2020 customer-funded research and development increased 14%, driven by higher expenses across various programs at Pratt &amp; Whitney (8%) and Collins Aerospace Systems (6%).</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jc w:val="right"/>
              <w:ind w:right="636"/>
              <w:spacing w:after="0"/>
              <w:rPr>
                <w:sz w:val="20"/>
                <w:szCs w:val="20"/>
                <w:color w:val="auto"/>
              </w:rPr>
            </w:pPr>
            <w:r>
              <w:rPr>
                <w:rFonts w:ascii="Arial" w:cs="Arial" w:eastAsia="Arial" w:hAnsi="Arial"/>
                <w:sz w:val="14"/>
                <w:szCs w:val="14"/>
                <w:b w:val="1"/>
                <w:bCs w:val="1"/>
                <w:color w:val="auto"/>
              </w:rPr>
              <w:t>Quarter Ended March 31,</w:t>
            </w:r>
          </w:p>
        </w:tc>
        <w:tc>
          <w:tcPr>
            <w:tcW w:w="200" w:type="dxa"/>
            <w:vAlign w:val="bottom"/>
            <w:tcBorders>
              <w:bottom w:val="single" w:sz="8" w:color="auto"/>
            </w:tcBorders>
          </w:tcPr>
          <w:p>
            <w:pPr>
              <w:spacing w:after="0"/>
              <w:rPr>
                <w:sz w:val="16"/>
                <w:szCs w:val="16"/>
                <w:color w:val="auto"/>
              </w:rPr>
            </w:pPr>
          </w:p>
        </w:tc>
      </w:tr>
      <w:tr>
        <w:trPr>
          <w:trHeight w:val="196"/>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r>
      <w:tr>
        <w:trPr>
          <w:trHeight w:val="249"/>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70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Percentage of net sales</w:t>
            </w: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bl>
    <w:p>
      <w:pPr>
        <w:spacing w:after="0" w:line="121" w:lineRule="exact"/>
        <w:rPr>
          <w:sz w:val="20"/>
          <w:szCs w:val="20"/>
          <w:color w:val="auto"/>
        </w:rPr>
      </w:pPr>
    </w:p>
    <w:p>
      <w:pPr>
        <w:ind w:right="40" w:firstLine="445"/>
        <w:spacing w:after="0" w:line="296" w:lineRule="auto"/>
        <w:rPr>
          <w:sz w:val="20"/>
          <w:szCs w:val="20"/>
          <w:color w:val="auto"/>
        </w:rPr>
      </w:pPr>
      <w:r>
        <w:rPr>
          <w:rFonts w:ascii="Arial" w:cs="Arial" w:eastAsia="Arial" w:hAnsi="Arial"/>
          <w:sz w:val="16"/>
          <w:szCs w:val="16"/>
          <w:color w:val="auto"/>
        </w:rPr>
        <w:t>Selling, general and administrative expenses increased 13% in the quarter ended March 31, 2020. The increase in expenses primarily reflects costs associated with the Separation Transactions (10%), and costs associated with the Raytheon Merger (1%). The growth in Selling, general and administrative expenses also includes higher expenses at Pratt &amp; Whitney (4%) driven by increased credit reserves related to the impact of COVID-19 and increased headcount and employee compensation related expenses. These increases were partially offset by lower expenses at Carrier (1%) primarily driven by lower restructuring charges. Selling, general and administrative expenses at Collins Aerospace Systems and Otis were consistent with the prior year.</w:t>
      </w:r>
    </w:p>
    <w:p>
      <w:pPr>
        <w:spacing w:after="0" w:line="53"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We are continuously evaluating our cost structure and have implemented restructuring actions as a method of keeping our cost structure competitive. As appropriate, the amounts reflected above include the beneficial impact of restructuring actions on Selling, general and administrative expenses. See Note 9: Restructuring Costs and the Restructuring Costs section of this Management's Discussion and Analysis of Financial Condition and Results of Operations for further discussion.</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Other (Loss) Income, Net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4"/>
                <w:szCs w:val="14"/>
                <w:b w:val="1"/>
                <w:bCs w:val="1"/>
                <w:color w:val="auto"/>
              </w:rPr>
              <w:t>Quarter Ended March 31,</w:t>
            </w:r>
          </w:p>
        </w:tc>
        <w:tc>
          <w:tcPr>
            <w:tcW w:w="520" w:type="dxa"/>
            <w:vAlign w:val="bottom"/>
            <w:tcBorders>
              <w:bottom w:val="single" w:sz="8" w:color="auto"/>
            </w:tcBorders>
          </w:tcPr>
          <w:p>
            <w:pPr>
              <w:spacing w:after="0"/>
              <w:rPr>
                <w:sz w:val="16"/>
                <w:szCs w:val="16"/>
                <w:color w:val="auto"/>
              </w:rPr>
            </w:pPr>
          </w:p>
        </w:tc>
      </w:tr>
      <w:tr>
        <w:trPr>
          <w:trHeight w:val="196"/>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7"/>
                <w:szCs w:val="17"/>
                <w:color w:val="auto"/>
              </w:rPr>
            </w:pPr>
          </w:p>
        </w:tc>
      </w:tr>
      <w:tr>
        <w:trPr>
          <w:trHeight w:val="24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(loss) income, net</w:t>
            </w:r>
          </w:p>
        </w:tc>
        <w:tc>
          <w:tcPr>
            <w:tcW w:w="1060" w:type="dxa"/>
            <w:vAlign w:val="bottom"/>
            <w:shd w:val="clear" w:color="auto" w:fill="CCEEFF"/>
          </w:tcPr>
          <w:p>
            <w:pPr>
              <w:jc w:val="right"/>
              <w:ind w:right="882"/>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112</w:t>
            </w:r>
          </w:p>
        </w:tc>
      </w:tr>
      <w:tr>
        <w:trPr>
          <w:trHeight w:val="27"/>
        </w:trPr>
        <w:tc>
          <w:tcPr>
            <w:tcW w:w="77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60" w:firstLine="445"/>
        <w:spacing w:after="0" w:line="275" w:lineRule="auto"/>
        <w:rPr>
          <w:sz w:val="20"/>
          <w:szCs w:val="20"/>
          <w:color w:val="auto"/>
        </w:rPr>
      </w:pPr>
      <w:r>
        <w:rPr>
          <w:rFonts w:ascii="Arial" w:cs="Arial" w:eastAsia="Arial" w:hAnsi="Arial"/>
          <w:sz w:val="17"/>
          <w:szCs w:val="17"/>
          <w:color w:val="auto"/>
        </w:rPr>
        <w:t>Other income, net includes equity earnings in unconsolidated entities, royalty income, foreign exchange gains and losses, as well as other ongoing and nonrecurring items. The year-over-year decrease in Other income (168%) for the quarter ended March 31, 2020 primarily reflects the impairment of an investment at Carrier (63%), an asset impairment at Otis (60%), the impairment of a tradename at Collins Aerospace Systems resulting from the projected impact of COVID-19 (36%) and lower equity earnings in unconsolidated entities (17%), primarily at Carrier. These decreases were partially offset by the absence of a prior-year loss on the sale of a business at Collins Aerospace Systems (22%).</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Interest Expense, Net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jc w:val="right"/>
              <w:ind w:right="673"/>
              <w:spacing w:after="0"/>
              <w:rPr>
                <w:sz w:val="20"/>
                <w:szCs w:val="20"/>
                <w:color w:val="auto"/>
              </w:rPr>
            </w:pPr>
            <w:r>
              <w:rPr>
                <w:rFonts w:ascii="Arial" w:cs="Arial" w:eastAsia="Arial" w:hAnsi="Arial"/>
                <w:sz w:val="14"/>
                <w:szCs w:val="14"/>
                <w:b w:val="1"/>
                <w:bCs w:val="1"/>
                <w:color w:val="auto"/>
              </w:rPr>
              <w:t>Quarter Ended March 31,</w:t>
            </w:r>
          </w:p>
        </w:tc>
        <w:tc>
          <w:tcPr>
            <w:tcW w:w="180" w:type="dxa"/>
            <w:vAlign w:val="bottom"/>
            <w:tcBorders>
              <w:bottom w:val="single" w:sz="8" w:color="auto"/>
            </w:tcBorders>
          </w:tcPr>
          <w:p>
            <w:pPr>
              <w:spacing w:after="0"/>
              <w:rPr>
                <w:sz w:val="16"/>
                <w:szCs w:val="16"/>
                <w:color w:val="auto"/>
              </w:rPr>
            </w:pPr>
          </w:p>
        </w:tc>
      </w:tr>
      <w:tr>
        <w:trPr>
          <w:trHeight w:val="196"/>
        </w:trPr>
        <w:tc>
          <w:tcPr>
            <w:tcW w:w="77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400" w:type="dxa"/>
            <w:vAlign w:val="bottom"/>
          </w:tcPr>
          <w:p>
            <w:pPr>
              <w:spacing w:after="0"/>
              <w:rPr>
                <w:sz w:val="17"/>
                <w:szCs w:val="17"/>
                <w:color w:val="auto"/>
              </w:rPr>
            </w:pPr>
          </w:p>
        </w:tc>
        <w:tc>
          <w:tcPr>
            <w:tcW w:w="1100" w:type="dxa"/>
            <w:vAlign w:val="bottom"/>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7"/>
                <w:szCs w:val="17"/>
                <w:color w:val="auto"/>
              </w:rPr>
            </w:pPr>
          </w:p>
        </w:tc>
      </w:tr>
      <w:tr>
        <w:trPr>
          <w:trHeight w:val="256"/>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68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80" w:type="dxa"/>
            <w:vAlign w:val="bottom"/>
            <w:tcBorders>
              <w:bottom w:val="single" w:sz="8" w:color="CCEEFF"/>
            </w:tcBorders>
            <w:shd w:val="clear" w:color="auto" w:fill="CCEEFF"/>
          </w:tcPr>
          <w:p>
            <w:pPr>
              <w:spacing w:after="0"/>
              <w:rPr>
                <w:sz w:val="22"/>
                <w:szCs w:val="22"/>
                <w:color w:val="auto"/>
              </w:rPr>
            </w:pP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21"/>
                <w:szCs w:val="21"/>
                <w:color w:val="auto"/>
              </w:rPr>
            </w:pPr>
          </w:p>
        </w:tc>
      </w:tr>
      <w:tr>
        <w:trPr>
          <w:trHeight w:val="27"/>
        </w:trPr>
        <w:tc>
          <w:tcPr>
            <w:tcW w:w="77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84"/>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6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80" w:type="dxa"/>
            <w:vAlign w:val="bottom"/>
            <w:shd w:val="clear" w:color="auto" w:fill="CCEEFF"/>
          </w:tcPr>
          <w:p>
            <w:pPr>
              <w:spacing w:after="0"/>
              <w:rPr>
                <w:sz w:val="24"/>
                <w:szCs w:val="24"/>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7720" w:type="dxa"/>
            <w:vAlign w:val="bottom"/>
          </w:tcPr>
          <w:p>
            <w:pPr>
              <w:ind w:left="20"/>
              <w:spacing w:after="0"/>
              <w:rPr>
                <w:sz w:val="20"/>
                <w:szCs w:val="20"/>
                <w:color w:val="auto"/>
              </w:rPr>
            </w:pPr>
            <w:r>
              <w:rPr>
                <w:rFonts w:ascii="Arial" w:cs="Arial" w:eastAsia="Arial" w:hAnsi="Arial"/>
                <w:sz w:val="18"/>
                <w:szCs w:val="18"/>
                <w:color w:val="auto"/>
              </w:rPr>
              <w:t>Average interest expense rate</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7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4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extinguishment costs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6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r>
      <w:tr>
        <w:trPr>
          <w:trHeight w:val="27"/>
        </w:trPr>
        <w:tc>
          <w:tcPr>
            <w:tcW w:w="77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60" w:firstLine="445"/>
        <w:spacing w:after="0" w:line="311" w:lineRule="auto"/>
        <w:rPr>
          <w:sz w:val="20"/>
          <w:szCs w:val="20"/>
          <w:color w:val="auto"/>
        </w:rPr>
      </w:pPr>
      <w:r>
        <w:rPr>
          <w:rFonts w:ascii="Arial" w:cs="Arial" w:eastAsia="Arial" w:hAnsi="Arial"/>
          <w:sz w:val="16"/>
          <w:szCs w:val="16"/>
          <w:color w:val="auto"/>
        </w:rPr>
        <w:t>Interest expense, net decreased 11% for the quarter ended March 31, 2020. Debt extinguishment costs of $660 million were incurred in the quarter in connection with the early repayment of outstanding principal associated with the Separation Transactions. The Average interest expense rate in the table above excludes these debt extinguishment costs. The average maturity of our long-term debt at March 31, 2020 is approximately 14 years.</w:t>
      </w:r>
    </w:p>
    <w:p>
      <w:pPr>
        <w:spacing w:after="0" w:line="149"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163" w:lineRule="exact"/>
        <w:rPr>
          <w:sz w:val="20"/>
          <w:szCs w:val="20"/>
          <w:color w:val="auto"/>
        </w:rPr>
      </w:pPr>
    </w:p>
    <w:p>
      <w:pPr>
        <w:ind w:left="8580"/>
        <w:spacing w:after="0"/>
        <w:rPr>
          <w:sz w:val="20"/>
          <w:szCs w:val="20"/>
          <w:color w:val="auto"/>
        </w:rPr>
      </w:pPr>
      <w:r>
        <w:rPr>
          <w:rFonts w:ascii="Arial" w:cs="Arial" w:eastAsia="Arial" w:hAnsi="Arial"/>
          <w:sz w:val="14"/>
          <w:szCs w:val="14"/>
          <w:b w:val="1"/>
          <w:bCs w:val="1"/>
          <w:color w:val="auto"/>
        </w:rPr>
        <w:t>Quarter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23495</wp:posOffset>
            </wp:positionV>
            <wp:extent cx="21602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2019</w:t>
            </w:r>
          </w:p>
        </w:tc>
      </w:tr>
      <w:tr>
        <w:trPr>
          <w:trHeight w:val="243"/>
        </w:trPr>
        <w:tc>
          <w:tcPr>
            <w:tcW w:w="8720" w:type="dxa"/>
            <w:vAlign w:val="bottom"/>
            <w:gridSpan w:val="2"/>
            <w:shd w:val="clear" w:color="auto" w:fill="CCEEFF"/>
          </w:tcPr>
          <w:p>
            <w:pPr>
              <w:jc w:val="right"/>
              <w:ind w:right="7388"/>
              <w:spacing w:after="0"/>
              <w:rPr>
                <w:sz w:val="20"/>
                <w:szCs w:val="20"/>
                <w:color w:val="auto"/>
              </w:rPr>
            </w:pPr>
            <w:r>
              <w:rPr>
                <w:rFonts w:ascii="Arial" w:cs="Arial" w:eastAsia="Arial" w:hAnsi="Arial"/>
                <w:sz w:val="18"/>
                <w:szCs w:val="18"/>
                <w:color w:val="auto"/>
                <w:w w:val="92"/>
              </w:rPr>
              <w:t>Effective tax rate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98.5 %</w:t>
            </w: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21.8 %</w:t>
            </w:r>
          </w:p>
        </w:tc>
      </w:tr>
      <w:tr>
        <w:trPr>
          <w:trHeight w:val="27"/>
        </w:trPr>
        <w:tc>
          <w:tcPr>
            <w:tcW w:w="76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right="280" w:firstLine="405"/>
        <w:spacing w:after="0" w:line="263" w:lineRule="auto"/>
        <w:rPr>
          <w:sz w:val="20"/>
          <w:szCs w:val="20"/>
          <w:color w:val="auto"/>
        </w:rPr>
      </w:pPr>
      <w:r>
        <w:rPr>
          <w:rFonts w:ascii="Arial" w:cs="Arial" w:eastAsia="Arial" w:hAnsi="Arial"/>
          <w:sz w:val="18"/>
          <w:szCs w:val="18"/>
          <w:color w:val="auto"/>
        </w:rPr>
        <w:t>As a result of the Separation Transactions and the Raytheon Merger, coupled with the impact of the wide range of uncertainties of the COVID-19 pandemic, rather than applying a forecasted annualized effective tax rate, the Company recorded its first quarter tax expense based upon income and tax items as they occurred in the quarter. The increase in the effective tax</w:t>
      </w:r>
    </w:p>
    <w:p>
      <w:pPr>
        <w:sectPr>
          <w:pgSz w:w="11900" w:h="16838" w:orient="portrait"/>
          <w:cols w:equalWidth="0" w:num="1">
            <w:col w:w="11240"/>
          </w:cols>
          <w:pgMar w:left="320" w:top="1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type w:val="continuous"/>
        </w:sectPr>
      </w:pPr>
    </w:p>
    <w:bookmarkStart w:id="39" w:name="page40"/>
    <w:bookmarkEnd w:id="39"/>
    <w:p>
      <w:pPr>
        <w:ind w:right="240"/>
        <w:spacing w:after="0" w:line="277" w:lineRule="auto"/>
        <w:rPr>
          <w:sz w:val="20"/>
          <w:szCs w:val="20"/>
          <w:color w:val="auto"/>
        </w:rPr>
      </w:pPr>
      <w:r>
        <w:rPr>
          <w:rFonts w:ascii="Arial" w:cs="Arial" w:eastAsia="Arial" w:hAnsi="Arial"/>
          <w:sz w:val="18"/>
          <w:szCs w:val="18"/>
          <w:color w:val="auto"/>
        </w:rPr>
        <w:t>rate for the quarter ended March 31, 2020 is primarily the result of tax charges in connection with the Company’s Separation Transactions, including the impairment of deferred tax assets not expected to be utilized.</w:t>
      </w:r>
    </w:p>
    <w:p>
      <w:pPr>
        <w:spacing w:after="0" w:line="62" w:lineRule="exact"/>
        <w:rPr>
          <w:sz w:val="20"/>
          <w:szCs w:val="20"/>
          <w:color w:val="auto"/>
        </w:rPr>
      </w:pPr>
    </w:p>
    <w:p>
      <w:pPr>
        <w:jc w:val="both"/>
        <w:ind w:right="120" w:firstLine="405"/>
        <w:spacing w:after="0" w:line="259" w:lineRule="auto"/>
        <w:rPr>
          <w:sz w:val="20"/>
          <w:szCs w:val="20"/>
          <w:color w:val="auto"/>
        </w:rPr>
      </w:pPr>
      <w:r>
        <w:rPr>
          <w:rFonts w:ascii="Arial" w:cs="Arial" w:eastAsia="Arial" w:hAnsi="Arial"/>
          <w:sz w:val="18"/>
          <w:szCs w:val="18"/>
          <w:color w:val="auto"/>
        </w:rPr>
        <w:t>As shown in the table above, the effective tax rate for the quarter ended March 31, 2020 is 98.5%; the effective income tax rate for the same period, excluding restructuring, and non-operational nonrecurring items is 22.4%. The full year rate is subject to change as guidance and interpretations related to the Tax Cuts and Jobs Act of 2017 (TCJA) continue to be finalized. Additionally, we anticipate variability in the tax rate quarter to quarter from potential discrete items.</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u w:val="single" w:color="auto"/>
          <w:color w:val="auto"/>
        </w:rPr>
        <w:t>Net Income Attributable to Common Shareowners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4"/>
                <w:szCs w:val="14"/>
                <w:b w:val="1"/>
                <w:bCs w:val="1"/>
                <w:color w:val="auto"/>
              </w:rPr>
              <w:t>Quarter Ended March 31,</w:t>
            </w:r>
          </w:p>
        </w:tc>
        <w:tc>
          <w:tcPr>
            <w:tcW w:w="620" w:type="dxa"/>
            <w:vAlign w:val="bottom"/>
            <w:tcBorders>
              <w:bottom w:val="single" w:sz="8" w:color="auto"/>
            </w:tcBorders>
          </w:tcPr>
          <w:p>
            <w:pPr>
              <w:spacing w:after="0"/>
              <w:rPr>
                <w:sz w:val="16"/>
                <w:szCs w:val="16"/>
                <w:color w:val="auto"/>
              </w:rPr>
            </w:pPr>
          </w:p>
        </w:tc>
      </w:tr>
      <w:tr>
        <w:trPr>
          <w:trHeight w:val="196"/>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 except per share amounts)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7"/>
                <w:szCs w:val="17"/>
                <w:color w:val="auto"/>
              </w:rPr>
            </w:pPr>
          </w:p>
        </w:tc>
      </w:tr>
      <w:tr>
        <w:trPr>
          <w:trHeight w:val="249"/>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common shareowners</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7"/>
              </w:rPr>
              <w:t>1,346</w:t>
            </w: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Diluted (loss) earnings per share from operations</w:t>
            </w:r>
          </w:p>
        </w:tc>
        <w:tc>
          <w:tcPr>
            <w:tcW w:w="1000" w:type="dxa"/>
            <w:vAlign w:val="bottom"/>
          </w:tcPr>
          <w:p>
            <w:pPr>
              <w:jc w:val="right"/>
              <w:ind w:right="819"/>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w w:val="97"/>
              </w:rPr>
              <w:t>(0.10)</w:t>
            </w:r>
          </w:p>
        </w:tc>
        <w:tc>
          <w:tcPr>
            <w:tcW w:w="100" w:type="dxa"/>
            <w:vAlign w:val="bottom"/>
          </w:tcPr>
          <w:p>
            <w:pPr>
              <w:spacing w:after="0"/>
              <w:rPr>
                <w:sz w:val="21"/>
                <w:szCs w:val="21"/>
                <w:color w:val="auto"/>
              </w:rPr>
            </w:pP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1.56</w:t>
            </w:r>
          </w:p>
        </w:tc>
      </w:tr>
    </w:tbl>
    <w:p>
      <w:pPr>
        <w:spacing w:after="0" w:line="121" w:lineRule="exact"/>
        <w:rPr>
          <w:sz w:val="20"/>
          <w:szCs w:val="20"/>
          <w:color w:val="auto"/>
        </w:rPr>
      </w:pPr>
    </w:p>
    <w:p>
      <w:pPr>
        <w:ind w:right="160" w:firstLine="445"/>
        <w:spacing w:after="0" w:line="257" w:lineRule="auto"/>
        <w:rPr>
          <w:sz w:val="20"/>
          <w:szCs w:val="20"/>
          <w:color w:val="auto"/>
        </w:rPr>
      </w:pPr>
      <w:r>
        <w:rPr>
          <w:rFonts w:ascii="Arial" w:cs="Arial" w:eastAsia="Arial" w:hAnsi="Arial"/>
          <w:sz w:val="18"/>
          <w:szCs w:val="18"/>
          <w:color w:val="auto"/>
        </w:rPr>
        <w:t>Net income attributable to common shareowners for the quarter ended March 31, 2020 includes restructuring charges, net of tax benefit, of $14 million, as well as a net charge for significant non-operational and/or nonrecurring items, including the impact of taxes, of $1,614 million primarily reflecting costs associated with the Separation Transactions. The effect of restructuring charges and significant non-operational and/or nonrecurring items was a charge of $1.88 per diluted share for the quarter ended March 31, 2020. The effect of foreign currency translation and Pratt &amp; Whitney Canada hedging generated an unfavorable impact of $0.02 on diluted earnings per share.</w:t>
      </w:r>
    </w:p>
    <w:p>
      <w:pPr>
        <w:spacing w:after="0" w:line="80" w:lineRule="exact"/>
        <w:rPr>
          <w:sz w:val="20"/>
          <w:szCs w:val="20"/>
          <w:color w:val="auto"/>
        </w:rPr>
      </w:pPr>
    </w:p>
    <w:p>
      <w:pPr>
        <w:ind w:right="20" w:firstLine="445"/>
        <w:spacing w:after="0" w:line="301" w:lineRule="auto"/>
        <w:rPr>
          <w:sz w:val="20"/>
          <w:szCs w:val="20"/>
          <w:color w:val="auto"/>
        </w:rPr>
      </w:pPr>
      <w:r>
        <w:rPr>
          <w:rFonts w:ascii="Arial" w:cs="Arial" w:eastAsia="Arial" w:hAnsi="Arial"/>
          <w:sz w:val="16"/>
          <w:szCs w:val="16"/>
          <w:color w:val="auto"/>
        </w:rPr>
        <w:t>Net income attributable to common shareowners for the quarter ended March 31, 2019 includes restructuring charges, net of tax benefit, of $83 million as well as a net charge for significant non-operational and/or nonrecurring items, net of tax, of $218 million. The effect of restructuring charges and significant non-operational and/or nonrecurring items on diluted earnings per share for the quarter ended March 31, 2019 was a charge of $0.35 per share while the effect of foreign currency translation and Pratt &amp; Whitney Canada hedging generated an unfavorable impact of $0.03 per diluted share.</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228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Quarter Ended March 31,</w:t>
            </w:r>
          </w:p>
        </w:tc>
        <w:tc>
          <w:tcPr>
            <w:tcW w:w="460" w:type="dxa"/>
            <w:vAlign w:val="bottom"/>
            <w:tcBorders>
              <w:bottom w:val="single" w:sz="8" w:color="auto"/>
            </w:tcBorders>
          </w:tcPr>
          <w:p>
            <w:pPr>
              <w:spacing w:after="0"/>
              <w:rPr>
                <w:sz w:val="16"/>
                <w:szCs w:val="16"/>
                <w:color w:val="auto"/>
              </w:rPr>
            </w:pPr>
          </w:p>
        </w:tc>
      </w:tr>
      <w:tr>
        <w:trPr>
          <w:trHeight w:val="196"/>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7"/>
                <w:szCs w:val="17"/>
                <w:color w:val="auto"/>
              </w:rPr>
            </w:pPr>
          </w:p>
        </w:tc>
      </w:tr>
      <w:tr>
        <w:trPr>
          <w:trHeight w:val="295"/>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costs</w:t>
            </w:r>
          </w:p>
        </w:tc>
        <w:tc>
          <w:tcPr>
            <w:tcW w:w="900" w:type="dxa"/>
            <w:vAlign w:val="bottom"/>
            <w:tcBorders>
              <w:bottom w:val="single" w:sz="8" w:color="auto"/>
            </w:tcBorders>
            <w:shd w:val="clear" w:color="auto" w:fill="CCEEFF"/>
          </w:tcPr>
          <w:p>
            <w:pPr>
              <w:jc w:val="right"/>
              <w:ind w:right="722"/>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112</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445"/>
        <w:spacing w:after="0" w:line="279" w:lineRule="auto"/>
        <w:rPr>
          <w:sz w:val="20"/>
          <w:szCs w:val="20"/>
          <w:color w:val="auto"/>
        </w:rPr>
      </w:pPr>
      <w:r>
        <w:rPr>
          <w:rFonts w:ascii="Arial" w:cs="Arial" w:eastAsia="Arial" w:hAnsi="Arial"/>
          <w:sz w:val="17"/>
          <w:szCs w:val="17"/>
          <w:color w:val="auto"/>
        </w:rPr>
        <w:t>Restructuring actions are an essential component of our operating margin improvement efforts and relate to existing and recently acquired operations. Charges generally arise from severance related to workforce reductions, facility exit and lease termination costs associated with the consolidation of field and manufacturing operations and costs to exit legacy programs. We continue to closely monitor the economic environment and may undertake further restructuring actions to keep our cost structure aligned with the demands of the prevailing market conditions.</w:t>
      </w:r>
    </w:p>
    <w:p>
      <w:pPr>
        <w:spacing w:after="0" w:line="59"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b w:val="1"/>
          <w:bCs w:val="1"/>
          <w:color w:val="auto"/>
        </w:rPr>
        <w:t xml:space="preserve">2020 Actions. </w:t>
      </w:r>
      <w:r>
        <w:rPr>
          <w:rFonts w:ascii="Arial" w:cs="Arial" w:eastAsia="Arial" w:hAnsi="Arial"/>
          <w:sz w:val="17"/>
          <w:szCs w:val="17"/>
          <w:color w:val="auto"/>
        </w:rPr>
        <w:t>During the quarter ended March 31, 2020, we recorded net pre-tax restructuring charges of $8 million relating to ongoing cost reduction</w:t>
      </w:r>
      <w:r>
        <w:rPr>
          <w:rFonts w:ascii="Arial" w:cs="Arial" w:eastAsia="Arial" w:hAnsi="Arial"/>
          <w:sz w:val="17"/>
          <w:szCs w:val="17"/>
          <w:b w:val="1"/>
          <w:bCs w:val="1"/>
          <w:color w:val="auto"/>
        </w:rPr>
        <w:t xml:space="preserve"> </w:t>
      </w:r>
      <w:r>
        <w:rPr>
          <w:rFonts w:ascii="Arial" w:cs="Arial" w:eastAsia="Arial" w:hAnsi="Arial"/>
          <w:sz w:val="17"/>
          <w:szCs w:val="17"/>
          <w:color w:val="auto"/>
        </w:rPr>
        <w:t>actions initiated in 2020. We expect to incur additional restructuring charges of $9 million to complete these actions. We are targeting to complete in 2020 and 2021 the majority of the actions initiated in 2020. We expect recurring pre-tax savings in continuing operations to increase to approximately $11 million annually over the two-year period subsequent to initiating the actions. Approximately 92% of the total expected pre-tax charges will require cash payments, which we have funded and expect to continue to fund with cash generated from operations. During the quarter ended March 31, 2020, we had cash outflows of approximately $2 million related to the 2020 actions.</w:t>
      </w:r>
    </w:p>
    <w:p>
      <w:pPr>
        <w:spacing w:after="0" w:line="6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color w:val="auto"/>
        </w:rPr>
        <w:t xml:space="preserve">2019 Actions. </w:t>
      </w:r>
      <w:r>
        <w:rPr>
          <w:rFonts w:ascii="Arial" w:cs="Arial" w:eastAsia="Arial" w:hAnsi="Arial"/>
          <w:sz w:val="17"/>
          <w:szCs w:val="17"/>
          <w:color w:val="auto"/>
        </w:rPr>
        <w:t>During the quarters ended March 31, 2020 and 2019, we recorded net pre-tax restructuring charges of $10 million and $73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respectively, for actions initiated in 2019. We expect to incur additional restructuring charges of $109 million to complete these actions. We are targeting to complete in 2020 the majority of the remaining workforce and facility related cost reduction actions initiated in 2019. We expect recurring pre-tax savings in continuing operations to increase over the two-year period subsequent to initiating the actions by approximately $223 million annually, of which, approximately $79 million was realized during the quarter ended March 31, 2020. Approximately 84% of the total expected pre-tax charges will require cash payments, which we have funded and expect to continue to fund with cash generated from operations. During the quarter ended March 31, 2020, we had cash outflows of approximately $34 million related to the 2019 actions.</w:t>
      </w:r>
    </w:p>
    <w:p>
      <w:pPr>
        <w:spacing w:after="0" w:line="68" w:lineRule="exact"/>
        <w:rPr>
          <w:sz w:val="20"/>
          <w:szCs w:val="20"/>
          <w:color w:val="auto"/>
        </w:rPr>
      </w:pPr>
    </w:p>
    <w:p>
      <w:pPr>
        <w:ind w:right="20" w:firstLine="405"/>
        <w:spacing w:after="0" w:line="308" w:lineRule="auto"/>
        <w:rPr>
          <w:sz w:val="20"/>
          <w:szCs w:val="20"/>
          <w:color w:val="auto"/>
        </w:rPr>
      </w:pPr>
      <w:r>
        <w:rPr>
          <w:rFonts w:ascii="Arial" w:cs="Arial" w:eastAsia="Arial" w:hAnsi="Arial"/>
          <w:sz w:val="17"/>
          <w:szCs w:val="17"/>
          <w:color w:val="auto"/>
        </w:rPr>
        <w:t>In addition, during the quarter ended March 31, 2020, we recorded net pre-tax restructuring costs totaling $1 million for restructuring actions initiated in 2018 and prior. For additional discussion of restructuring, see Note 9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Segment Review</w:t>
      </w:r>
    </w:p>
    <w:p>
      <w:pPr>
        <w:spacing w:after="0" w:line="121" w:lineRule="exact"/>
        <w:rPr>
          <w:sz w:val="20"/>
          <w:szCs w:val="20"/>
          <w:color w:val="auto"/>
        </w:rPr>
      </w:pPr>
    </w:p>
    <w:p>
      <w:pPr>
        <w:ind w:right="120" w:firstLine="445"/>
        <w:spacing w:after="0" w:line="254" w:lineRule="auto"/>
        <w:rPr>
          <w:sz w:val="20"/>
          <w:szCs w:val="20"/>
          <w:color w:val="auto"/>
        </w:rPr>
      </w:pPr>
      <w:r>
        <w:rPr>
          <w:rFonts w:ascii="Arial" w:cs="Arial" w:eastAsia="Arial" w:hAnsi="Arial"/>
          <w:sz w:val="18"/>
          <w:szCs w:val="18"/>
          <w:color w:val="auto"/>
        </w:rPr>
        <w:t>Segments are generally based on the management structure of the businesses and the grouping of similar operating companies, where each management organization has general operating autonomy over diversified products and services. Adjustments to reconcile segment reporting to the consolidated results for the quarters ended March 31, 2020 and 2019 are included in "Eliminations and other", which also includes certain smaller subsidiaries. We attempt to quantify material factors within our discussion of the results of each segment whenever those factors are determinable. However, in some instances, the factors we cite within our segment discussion are based upon input measures or qualitative information that does not lend itself to quantification when discussed in the context of the financial results measured on an output basis and are not, therefore, quantified in the below discussions.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Commercial Businesses</w:t>
      </w:r>
    </w:p>
    <w:p>
      <w:pPr>
        <w:spacing w:after="0" w:line="117" w:lineRule="exact"/>
        <w:rPr>
          <w:sz w:val="20"/>
          <w:szCs w:val="20"/>
          <w:color w:val="auto"/>
        </w:rPr>
      </w:pPr>
    </w:p>
    <w:p>
      <w:pPr>
        <w:ind w:right="40" w:firstLine="445"/>
        <w:spacing w:after="0" w:line="288" w:lineRule="auto"/>
        <w:rPr>
          <w:sz w:val="20"/>
          <w:szCs w:val="20"/>
          <w:color w:val="auto"/>
        </w:rPr>
      </w:pPr>
      <w:r>
        <w:rPr>
          <w:rFonts w:ascii="Arial" w:cs="Arial" w:eastAsia="Arial" w:hAnsi="Arial"/>
          <w:sz w:val="16"/>
          <w:szCs w:val="16"/>
          <w:color w:val="auto"/>
        </w:rPr>
        <w:t>Our commercial businesses generally serve customers in the worldwide commercial and residential property industries, and Carrier also serves customers in the commercial and transport refrigeration industries. Sales in the commercial businesses are influenced by a number of external factors, including fluctuations in residential and commercial construction activity, regulatory changes, interest rates, labor costs, foreign currency exchange rates, customer attrition, raw material and energy costs, credit markets and other global and political factors including the impact of the COVID-19 pandemic. As previously discussed, the COVID-19 pandemic has negatively affected the U.S. and global economy, disrupted global supply chains and financial markets, and resulted in significant travel and transport restrictions. The extent of the pandemic's impact on our Commercial businesses will depend on a wide range of future developments as previously discussed, all of which are uncertain and cannot be accurately predicted. Carrier's financial performance can also be influenced by production and utilization of transport equipment and, in the case of its residential business, weather conditions. To ensure adequate supply of products in the distribution channel, Carrier customarily offers its customers incentives to purchase products. The principal incentive program provides reimbursements to distributors for offering promotional pricing on Carrier products. We account for incentive payments made as a reduction to sales.</w:t>
      </w:r>
    </w:p>
    <w:p>
      <w:pPr>
        <w:spacing w:after="0" w:line="60" w:lineRule="exact"/>
        <w:rPr>
          <w:sz w:val="20"/>
          <w:szCs w:val="20"/>
          <w:color w:val="auto"/>
        </w:rPr>
      </w:pPr>
    </w:p>
    <w:p>
      <w:pPr>
        <w:ind w:right="480" w:firstLine="405"/>
        <w:spacing w:after="0" w:line="259" w:lineRule="auto"/>
        <w:rPr>
          <w:sz w:val="20"/>
          <w:szCs w:val="20"/>
          <w:color w:val="auto"/>
        </w:rPr>
      </w:pPr>
      <w:r>
        <w:rPr>
          <w:rFonts w:ascii="Arial" w:cs="Arial" w:eastAsia="Arial" w:hAnsi="Arial"/>
          <w:sz w:val="18"/>
          <w:szCs w:val="18"/>
          <w:color w:val="auto"/>
        </w:rPr>
        <w:t>At constant currency and excluding the effect of acquisitions and divestitures, Carrier equipment orders in the quarter ended March 31, 2020 decreased 10% in comparison to the same period of the prior year, driven by decreases in residential HVAC (11%), transport refrigeration (23%), commercial HVAC (8%) and Fire and Security products (5%) equipment orders. At constant currency, Otis new equipment orders in the quarter were consistent with the prior year.</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Summary performance for each of the commercial businesses for the quarters ended March 31, 2020 and 2019 was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Otis</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Carrier</w:t>
            </w: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96"/>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Change</w:t>
            </w:r>
          </w:p>
        </w:tc>
      </w:tr>
      <w:tr>
        <w:trPr>
          <w:trHeight w:val="25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2,966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3,096</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3,888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4,323</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2,069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55"/>
              <w:spacing w:after="0"/>
              <w:rPr>
                <w:sz w:val="20"/>
                <w:szCs w:val="20"/>
                <w:color w:val="auto"/>
              </w:rPr>
            </w:pPr>
            <w:r>
              <w:rPr>
                <w:rFonts w:ascii="Arial" w:cs="Arial" w:eastAsia="Arial" w:hAnsi="Arial"/>
                <w:sz w:val="18"/>
                <w:szCs w:val="18"/>
                <w:color w:val="auto"/>
              </w:rPr>
              <w:t>2,195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53"/>
              <w:spacing w:after="0"/>
              <w:rPr>
                <w:sz w:val="20"/>
                <w:szCs w:val="20"/>
                <w:color w:val="auto"/>
              </w:rPr>
            </w:pPr>
            <w:r>
              <w:rPr>
                <w:rFonts w:ascii="Arial" w:cs="Arial" w:eastAsia="Arial" w:hAnsi="Arial"/>
                <w:sz w:val="18"/>
                <w:szCs w:val="18"/>
                <w:color w:val="auto"/>
              </w:rPr>
              <w:t>2,766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75"/>
              <w:spacing w:after="0"/>
              <w:rPr>
                <w:sz w:val="20"/>
                <w:szCs w:val="20"/>
                <w:color w:val="auto"/>
              </w:rPr>
            </w:pPr>
            <w:r>
              <w:rPr>
                <w:rFonts w:ascii="Arial" w:cs="Arial" w:eastAsia="Arial" w:hAnsi="Arial"/>
                <w:sz w:val="18"/>
                <w:szCs w:val="18"/>
                <w:color w:val="auto"/>
              </w:rPr>
              <w:t>3,088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4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44"/>
        </w:trPr>
        <w:tc>
          <w:tcPr>
            <w:tcW w:w="40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901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1,122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1,235</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Operating Expenses and Other</w:t>
            </w:r>
          </w:p>
        </w:tc>
        <w:tc>
          <w:tcPr>
            <w:tcW w:w="260" w:type="dxa"/>
            <w:vAlign w:val="bottom"/>
          </w:tcPr>
          <w:p>
            <w:pPr>
              <w:spacing w:after="0"/>
              <w:rPr>
                <w:sz w:val="21"/>
                <w:szCs w:val="21"/>
                <w:color w:val="auto"/>
              </w:rPr>
            </w:pP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55"/>
              <w:spacing w:after="0"/>
              <w:rPr>
                <w:sz w:val="20"/>
                <w:szCs w:val="20"/>
                <w:color w:val="auto"/>
              </w:rPr>
            </w:pPr>
            <w:r>
              <w:rPr>
                <w:rFonts w:ascii="Arial" w:cs="Arial" w:eastAsia="Arial" w:hAnsi="Arial"/>
                <w:sz w:val="18"/>
                <w:szCs w:val="18"/>
                <w:color w:val="auto"/>
              </w:rPr>
              <w:t>475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53"/>
              <w:spacing w:after="0"/>
              <w:rPr>
                <w:sz w:val="20"/>
                <w:szCs w:val="20"/>
                <w:color w:val="auto"/>
              </w:rPr>
            </w:pPr>
            <w:r>
              <w:rPr>
                <w:rFonts w:ascii="Arial" w:cs="Arial" w:eastAsia="Arial" w:hAnsi="Arial"/>
                <w:sz w:val="18"/>
                <w:szCs w:val="18"/>
                <w:color w:val="auto"/>
              </w:rPr>
              <w:t>759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75"/>
              <w:spacing w:after="0"/>
              <w:rPr>
                <w:sz w:val="20"/>
                <w:szCs w:val="20"/>
                <w:color w:val="auto"/>
              </w:rPr>
            </w:pPr>
            <w:r>
              <w:rPr>
                <w:rFonts w:ascii="Arial" w:cs="Arial" w:eastAsia="Arial" w:hAnsi="Arial"/>
                <w:sz w:val="18"/>
                <w:szCs w:val="18"/>
                <w:color w:val="auto"/>
              </w:rPr>
              <w:t>706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8 %</w:t>
            </w:r>
          </w:p>
        </w:tc>
      </w:tr>
      <w:tr>
        <w:trPr>
          <w:trHeight w:val="27"/>
        </w:trPr>
        <w:tc>
          <w:tcPr>
            <w:tcW w:w="4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88"/>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Profits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426</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363</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529</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ind w:left="40"/>
              <w:spacing w:after="0"/>
              <w:rPr>
                <w:sz w:val="20"/>
                <w:szCs w:val="20"/>
                <w:color w:val="auto"/>
              </w:rPr>
            </w:pPr>
            <w:r>
              <w:rPr>
                <w:rFonts w:ascii="Arial" w:cs="Arial" w:eastAsia="Arial" w:hAnsi="Arial"/>
                <w:sz w:val="18"/>
                <w:szCs w:val="18"/>
                <w:color w:val="auto"/>
              </w:rPr>
              <w:t>Operating Profit Margins</w:t>
            </w:r>
          </w:p>
        </w:tc>
        <w:tc>
          <w:tcPr>
            <w:tcW w:w="1780" w:type="dxa"/>
            <w:vAlign w:val="bottom"/>
            <w:gridSpan w:val="3"/>
          </w:tcPr>
          <w:p>
            <w:pPr>
              <w:jc w:val="right"/>
              <w:ind w:right="140"/>
              <w:spacing w:after="0"/>
              <w:rPr>
                <w:sz w:val="20"/>
                <w:szCs w:val="20"/>
                <w:color w:val="auto"/>
              </w:rPr>
            </w:pPr>
            <w:r>
              <w:rPr>
                <w:rFonts w:ascii="Arial" w:cs="Arial" w:eastAsia="Arial" w:hAnsi="Arial"/>
                <w:sz w:val="18"/>
                <w:szCs w:val="18"/>
                <w:color w:val="auto"/>
              </w:rPr>
              <w:t>12.5 %</w:t>
            </w:r>
          </w:p>
        </w:tc>
        <w:tc>
          <w:tcPr>
            <w:tcW w:w="1240" w:type="dxa"/>
            <w:vAlign w:val="bottom"/>
          </w:tcPr>
          <w:p>
            <w:pPr>
              <w:ind w:left="560"/>
              <w:spacing w:after="0"/>
              <w:rPr>
                <w:sz w:val="20"/>
                <w:szCs w:val="20"/>
                <w:color w:val="auto"/>
              </w:rPr>
            </w:pPr>
            <w:r>
              <w:rPr>
                <w:rFonts w:ascii="Arial" w:cs="Arial" w:eastAsia="Arial" w:hAnsi="Arial"/>
                <w:sz w:val="18"/>
                <w:szCs w:val="18"/>
                <w:color w:val="auto"/>
              </w:rPr>
              <w:t>13.8 %</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322"/>
              <w:spacing w:after="0"/>
              <w:rPr>
                <w:sz w:val="20"/>
                <w:szCs w:val="20"/>
                <w:color w:val="auto"/>
              </w:rPr>
            </w:pPr>
            <w:r>
              <w:rPr>
                <w:rFonts w:ascii="Arial" w:cs="Arial" w:eastAsia="Arial" w:hAnsi="Arial"/>
                <w:sz w:val="18"/>
                <w:szCs w:val="18"/>
                <w:color w:val="auto"/>
              </w:rPr>
              <w:t>9.3 %</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12.2 %</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500" w:type="dxa"/>
            <w:vAlign w:val="bottom"/>
          </w:tcPr>
          <w:p>
            <w:pPr>
              <w:spacing w:after="0"/>
              <w:rPr>
                <w:sz w:val="20"/>
                <w:szCs w:val="20"/>
                <w:color w:val="auto"/>
              </w:rPr>
            </w:pPr>
            <w:r>
              <w:rPr>
                <w:rFonts w:ascii="Arial" w:cs="Arial" w:eastAsia="Arial" w:hAnsi="Arial"/>
                <w:sz w:val="18"/>
                <w:szCs w:val="18"/>
                <w:b w:val="1"/>
                <w:bCs w:val="1"/>
                <w:color w:val="auto"/>
              </w:rPr>
              <w:t>Otis –</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20" w:type="dxa"/>
            <w:vAlign w:val="bottom"/>
            <w:gridSpan w:val="6"/>
          </w:tcPr>
          <w:p>
            <w:pPr>
              <w:spacing w:after="0"/>
              <w:rPr>
                <w:sz w:val="20"/>
                <w:szCs w:val="20"/>
                <w:color w:val="auto"/>
              </w:rPr>
            </w:pPr>
            <w:r>
              <w:rPr>
                <w:rFonts w:ascii="Arial" w:cs="Arial" w:eastAsia="Arial" w:hAnsi="Arial"/>
                <w:sz w:val="18"/>
                <w:szCs w:val="18"/>
                <w:b w:val="1"/>
                <w:bCs w:val="1"/>
                <w:i w:val="1"/>
                <w:iCs w:val="1"/>
                <w:color w:val="auto"/>
              </w:rPr>
              <w:t>Quarter Ended March 31, 2020 Compared with Quarter Ended March 31, 2019</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500" w:type="dxa"/>
            <w:vAlign w:val="bottom"/>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920" w:type="dxa"/>
            <w:vAlign w:val="bottom"/>
            <w:tcBorders>
              <w:bottom w:val="single" w:sz="8" w:color="auto"/>
            </w:tcBorders>
            <w:gridSpan w:val="5"/>
          </w:tcPr>
          <w:p>
            <w:pPr>
              <w:ind w:left="840"/>
              <w:spacing w:after="0"/>
              <w:rPr>
                <w:sz w:val="20"/>
                <w:szCs w:val="20"/>
                <w:color w:val="auto"/>
              </w:rPr>
            </w:pPr>
            <w:r>
              <w:rPr>
                <w:rFonts w:ascii="Arial" w:cs="Arial" w:eastAsia="Arial" w:hAnsi="Arial"/>
                <w:sz w:val="14"/>
                <w:szCs w:val="14"/>
                <w:b w:val="1"/>
                <w:bCs w:val="1"/>
                <w:color w:val="auto"/>
              </w:rPr>
              <w:t>Factors Contributing to Total % Change</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3500" w:type="dxa"/>
            <w:vAlign w:val="bottom"/>
          </w:tcPr>
          <w:p>
            <w:pPr>
              <w:spacing w:after="0"/>
              <w:rPr>
                <w:sz w:val="13"/>
                <w:szCs w:val="13"/>
                <w:color w:val="auto"/>
              </w:rPr>
            </w:pPr>
          </w:p>
        </w:tc>
        <w:tc>
          <w:tcPr>
            <w:tcW w:w="1780" w:type="dxa"/>
            <w:vAlign w:val="bottom"/>
            <w:gridSpan w:val="3"/>
          </w:tcPr>
          <w:p>
            <w:pPr>
              <w:jc w:val="right"/>
              <w:ind w:right="780"/>
              <w:spacing w:after="0" w:line="153" w:lineRule="exact"/>
              <w:rPr>
                <w:sz w:val="20"/>
                <w:szCs w:val="20"/>
                <w:color w:val="auto"/>
              </w:rPr>
            </w:pPr>
            <w:r>
              <w:rPr>
                <w:rFonts w:ascii="Arial" w:cs="Arial" w:eastAsia="Arial" w:hAnsi="Arial"/>
                <w:sz w:val="14"/>
                <w:szCs w:val="14"/>
                <w:b w:val="1"/>
                <w:bCs w:val="1"/>
                <w:color w:val="auto"/>
              </w:rPr>
              <w:t>Organic /</w:t>
            </w:r>
          </w:p>
        </w:tc>
        <w:tc>
          <w:tcPr>
            <w:tcW w:w="1340" w:type="dxa"/>
            <w:vAlign w:val="bottom"/>
            <w:gridSpan w:val="2"/>
          </w:tcPr>
          <w:p>
            <w:pPr>
              <w:ind w:left="420"/>
              <w:spacing w:after="0" w:line="153" w:lineRule="exact"/>
              <w:rPr>
                <w:sz w:val="20"/>
                <w:szCs w:val="20"/>
                <w:color w:val="auto"/>
              </w:rPr>
            </w:pPr>
            <w:r>
              <w:rPr>
                <w:rFonts w:ascii="Arial" w:cs="Arial" w:eastAsia="Arial" w:hAnsi="Arial"/>
                <w:sz w:val="14"/>
                <w:szCs w:val="14"/>
                <w:b w:val="1"/>
                <w:bCs w:val="1"/>
                <w:color w:val="auto"/>
              </w:rPr>
              <w:t>FX</w:t>
            </w:r>
          </w:p>
        </w:tc>
        <w:tc>
          <w:tcPr>
            <w:tcW w:w="1600" w:type="dxa"/>
            <w:vAlign w:val="bottom"/>
            <w:gridSpan w:val="2"/>
          </w:tcPr>
          <w:p>
            <w:pPr>
              <w:ind w:left="320"/>
              <w:spacing w:after="0" w:line="153" w:lineRule="exact"/>
              <w:rPr>
                <w:sz w:val="20"/>
                <w:szCs w:val="20"/>
                <w:color w:val="auto"/>
              </w:rPr>
            </w:pPr>
            <w:r>
              <w:rPr>
                <w:rFonts w:ascii="Arial" w:cs="Arial" w:eastAsia="Arial" w:hAnsi="Arial"/>
                <w:sz w:val="14"/>
                <w:szCs w:val="14"/>
                <w:b w:val="1"/>
                <w:bCs w:val="1"/>
                <w:color w:val="auto"/>
              </w:rPr>
              <w:t>Acquisitions /</w:t>
            </w:r>
          </w:p>
        </w:tc>
        <w:tc>
          <w:tcPr>
            <w:tcW w:w="1980" w:type="dxa"/>
            <w:vAlign w:val="bottom"/>
            <w:gridSpan w:val="4"/>
          </w:tcPr>
          <w:p>
            <w:pPr>
              <w:jc w:val="center"/>
              <w:ind w:right="520"/>
              <w:spacing w:after="0" w:line="153" w:lineRule="exact"/>
              <w:rPr>
                <w:sz w:val="20"/>
                <w:szCs w:val="20"/>
                <w:color w:val="auto"/>
              </w:rPr>
            </w:pPr>
            <w:r>
              <w:rPr>
                <w:rFonts w:ascii="Arial" w:cs="Arial" w:eastAsia="Arial" w:hAnsi="Arial"/>
                <w:sz w:val="14"/>
                <w:szCs w:val="14"/>
                <w:b w:val="1"/>
                <w:bCs w:val="1"/>
                <w:color w:val="auto"/>
                <w:w w:val="93"/>
              </w:rPr>
              <w:t>Restructuring</w:t>
            </w:r>
          </w:p>
        </w:tc>
        <w:tc>
          <w:tcPr>
            <w:tcW w:w="104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5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Operational</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Divestitures, net</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ind w:left="402"/>
              <w:spacing w:after="0"/>
              <w:rPr>
                <w:sz w:val="20"/>
                <w:szCs w:val="20"/>
                <w:color w:val="auto"/>
              </w:rPr>
            </w:pPr>
            <w:r>
              <w:rPr>
                <w:rFonts w:ascii="Arial" w:cs="Arial" w:eastAsia="Arial" w:hAnsi="Arial"/>
                <w:sz w:val="14"/>
                <w:szCs w:val="14"/>
                <w:b w:val="1"/>
                <w:bCs w:val="1"/>
                <w:color w:val="auto"/>
                <w:w w:val="87"/>
              </w:rPr>
              <w:t>Costs</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w w:val="99"/>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9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4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ind w:left="840"/>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0" w:type="dxa"/>
            <w:vAlign w:val="bottom"/>
            <w:gridSpan w:val="3"/>
          </w:tcPr>
          <w:p>
            <w:pPr>
              <w:jc w:val="right"/>
              <w:ind w:right="540"/>
              <w:spacing w:after="0"/>
              <w:rPr>
                <w:sz w:val="20"/>
                <w:szCs w:val="20"/>
                <w:color w:val="auto"/>
              </w:rPr>
            </w:pPr>
            <w:r>
              <w:rPr>
                <w:rFonts w:ascii="Arial" w:cs="Arial" w:eastAsia="Arial" w:hAnsi="Arial"/>
                <w:sz w:val="18"/>
                <w:szCs w:val="18"/>
                <w:color w:val="auto"/>
              </w:rPr>
              <w:t>— %</w:t>
            </w:r>
          </w:p>
        </w:tc>
        <w:tc>
          <w:tcPr>
            <w:tcW w:w="10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ind w:left="840"/>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9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35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organic sales decrease of 2% primarily reflects lower new equipment sales (4%) driven by declines in Asia and the Americas, partially offset by broad-based service sales growth (2%).</w:t>
      </w:r>
    </w:p>
    <w:p>
      <w:pPr>
        <w:sectPr>
          <w:pgSz w:w="11900" w:h="16838" w:orient="portrait"/>
          <w:cols w:equalWidth="0" w:num="1">
            <w:col w:w="11240"/>
          </w:cols>
          <w:pgMar w:left="320" w:top="12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type w:val="continuous"/>
        </w:sectPr>
      </w:pPr>
    </w:p>
    <w:bookmarkStart w:id="41" w:name="page42"/>
    <w:bookmarkEnd w:id="41"/>
    <w:p>
      <w:pPr>
        <w:ind w:left="420"/>
        <w:spacing w:after="0"/>
        <w:rPr>
          <w:sz w:val="20"/>
          <w:szCs w:val="20"/>
          <w:color w:val="auto"/>
        </w:rPr>
      </w:pPr>
      <w:r>
        <w:rPr>
          <w:rFonts w:ascii="Arial" w:cs="Arial" w:eastAsia="Arial" w:hAnsi="Arial"/>
          <w:sz w:val="18"/>
          <w:szCs w:val="18"/>
          <w:color w:val="auto"/>
        </w:rPr>
        <w:t>The operational profit increase of 6% was driven by:</w:t>
      </w:r>
    </w:p>
    <w:p>
      <w:pPr>
        <w:spacing w:after="0" w:line="23" w:lineRule="exact"/>
        <w:rPr>
          <w:sz w:val="20"/>
          <w:szCs w:val="20"/>
          <w:color w:val="auto"/>
        </w:rPr>
      </w:pPr>
    </w:p>
    <w:p>
      <w:pPr>
        <w:ind w:left="900" w:hanging="244"/>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favorable price and mix (3%)</w:t>
      </w:r>
    </w:p>
    <w:p>
      <w:pPr>
        <w:spacing w:after="0" w:line="9" w:lineRule="exact"/>
        <w:rPr>
          <w:rFonts w:ascii="Arial" w:cs="Arial" w:eastAsia="Arial" w:hAnsi="Arial"/>
          <w:sz w:val="18"/>
          <w:szCs w:val="18"/>
          <w:color w:val="auto"/>
        </w:rPr>
      </w:pPr>
    </w:p>
    <w:p>
      <w:pPr>
        <w:ind w:left="900" w:right="320" w:hanging="244"/>
        <w:spacing w:after="0" w:line="260" w:lineRule="auto"/>
        <w:tabs>
          <w:tab w:leader="none" w:pos="895" w:val="left"/>
        </w:tabs>
        <w:numPr>
          <w:ilvl w:val="0"/>
          <w:numId w:val="7"/>
        </w:numPr>
        <w:rPr>
          <w:rFonts w:ascii="Arial" w:cs="Arial" w:eastAsia="Arial" w:hAnsi="Arial"/>
          <w:sz w:val="18"/>
          <w:szCs w:val="18"/>
          <w:color w:val="auto"/>
        </w:rPr>
      </w:pPr>
      <w:r>
        <w:rPr>
          <w:rFonts w:ascii="Arial" w:cs="Arial" w:eastAsia="Arial" w:hAnsi="Arial"/>
          <w:sz w:val="18"/>
          <w:szCs w:val="18"/>
          <w:color w:val="auto"/>
        </w:rPr>
        <w:t>favorable transactional foreign exchange gains from mark-to-market adjustments and embedded foreign currency derivatives within certain new equipment contracts (3%)</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21% decrease in "Other" primarily reflects an asset impairment (16%) and costs associated with the Company's separation of the Otis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Carrier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March 31, 2020 Compared with Quarter Ended March 31, 2019</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74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w w:val="94"/>
              </w:rPr>
              <w:t>Factors Contributing to Total % Change</w:t>
            </w: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00" w:type="dxa"/>
            <w:vAlign w:val="bottom"/>
          </w:tcPr>
          <w:p>
            <w:pPr>
              <w:spacing w:after="0"/>
              <w:rPr>
                <w:sz w:val="13"/>
                <w:szCs w:val="13"/>
                <w:color w:val="auto"/>
              </w:rPr>
            </w:pPr>
          </w:p>
        </w:tc>
        <w:tc>
          <w:tcPr>
            <w:tcW w:w="1560" w:type="dxa"/>
            <w:vAlign w:val="bottom"/>
            <w:gridSpan w:val="2"/>
          </w:tcPr>
          <w:p>
            <w:pPr>
              <w:ind w:left="440"/>
              <w:spacing w:after="0" w:line="153" w:lineRule="exact"/>
              <w:rPr>
                <w:sz w:val="20"/>
                <w:szCs w:val="20"/>
                <w:color w:val="auto"/>
              </w:rPr>
            </w:pPr>
            <w:r>
              <w:rPr>
                <w:rFonts w:ascii="Arial" w:cs="Arial" w:eastAsia="Arial" w:hAnsi="Arial"/>
                <w:sz w:val="14"/>
                <w:szCs w:val="14"/>
                <w:b w:val="1"/>
                <w:bCs w:val="1"/>
                <w:color w:val="auto"/>
              </w:rPr>
              <w:t>Organic /</w:t>
            </w:r>
          </w:p>
        </w:tc>
        <w:tc>
          <w:tcPr>
            <w:tcW w:w="1560" w:type="dxa"/>
            <w:vAlign w:val="bottom"/>
            <w:gridSpan w:val="2"/>
          </w:tcPr>
          <w:p>
            <w:pPr>
              <w:ind w:left="640"/>
              <w:spacing w:after="0" w:line="153" w:lineRule="exact"/>
              <w:rPr>
                <w:sz w:val="20"/>
                <w:szCs w:val="20"/>
                <w:color w:val="auto"/>
              </w:rPr>
            </w:pPr>
            <w:r>
              <w:rPr>
                <w:rFonts w:ascii="Arial" w:cs="Arial" w:eastAsia="Arial" w:hAnsi="Arial"/>
                <w:sz w:val="14"/>
                <w:szCs w:val="14"/>
                <w:b w:val="1"/>
                <w:bCs w:val="1"/>
                <w:color w:val="auto"/>
              </w:rPr>
              <w:t>FX</w:t>
            </w:r>
          </w:p>
        </w:tc>
        <w:tc>
          <w:tcPr>
            <w:tcW w:w="16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Acquisitions /</w:t>
            </w:r>
          </w:p>
        </w:tc>
        <w:tc>
          <w:tcPr>
            <w:tcW w:w="158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Restructuring</w:t>
            </w:r>
          </w:p>
        </w:tc>
        <w:tc>
          <w:tcPr>
            <w:tcW w:w="144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5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Operational</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Divestitures, net</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Costs</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 %</w:t>
            </w:r>
          </w:p>
        </w:tc>
        <w:tc>
          <w:tcPr>
            <w:tcW w:w="1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4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0" w:type="dxa"/>
            <w:vAlign w:val="bottom"/>
            <w:gridSpan w:val="2"/>
          </w:tcPr>
          <w:p>
            <w:pPr>
              <w:ind w:left="1080"/>
              <w:spacing w:after="0"/>
              <w:rPr>
                <w:sz w:val="20"/>
                <w:szCs w:val="20"/>
                <w:color w:val="auto"/>
              </w:rPr>
            </w:pPr>
            <w:r>
              <w:rPr>
                <w:rFonts w:ascii="Arial" w:cs="Arial" w:eastAsia="Arial" w:hAnsi="Arial"/>
                <w:sz w:val="18"/>
                <w:szCs w:val="18"/>
                <w:color w:val="auto"/>
              </w:rPr>
              <w:t>— %</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4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6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 %</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5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The organic sales decrease of 9% was driven by decreases in HVAC (5%), refrigeration (3%) and fire &amp; security (1%). The decrease includes the unfavorable impact of the COVID-19 pandemic across all Carrier businesses.</w:t>
      </w:r>
    </w:p>
    <w:p>
      <w:pPr>
        <w:spacing w:after="0" w:line="62" w:lineRule="exact"/>
        <w:rPr>
          <w:sz w:val="20"/>
          <w:szCs w:val="20"/>
          <w:color w:val="auto"/>
        </w:rPr>
      </w:pPr>
    </w:p>
    <w:p>
      <w:pPr>
        <w:jc w:val="both"/>
        <w:ind w:right="120" w:firstLine="405"/>
        <w:spacing w:after="0" w:line="263" w:lineRule="auto"/>
        <w:rPr>
          <w:sz w:val="20"/>
          <w:szCs w:val="20"/>
          <w:color w:val="auto"/>
        </w:rPr>
      </w:pPr>
      <w:r>
        <w:rPr>
          <w:rFonts w:ascii="Arial" w:cs="Arial" w:eastAsia="Arial" w:hAnsi="Arial"/>
          <w:sz w:val="18"/>
          <w:szCs w:val="18"/>
          <w:color w:val="auto"/>
        </w:rPr>
        <w:t>Operational profit decreased 20% as the favorable net impact of cost and productivity, including lower commodities and tariffs (8%, combined) was more than offset by lower volume and unfavorable mix, net of favorable price (23%, net). Lower joint venture income (4%), primarily driven by a product issue, also contributed to the decline.</w:t>
      </w:r>
    </w:p>
    <w:p>
      <w:pPr>
        <w:spacing w:after="0" w:line="76"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The 16% decrease in "Other" primarily reflects the impairment of an investment (13%) and costs associated with the Company's separation of the Carrier business (3%).</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Aerospace Businesses</w:t>
      </w:r>
    </w:p>
    <w:p>
      <w:pPr>
        <w:spacing w:after="0" w:line="117" w:lineRule="exact"/>
        <w:rPr>
          <w:sz w:val="20"/>
          <w:szCs w:val="20"/>
          <w:color w:val="auto"/>
        </w:rPr>
      </w:pPr>
    </w:p>
    <w:p>
      <w:pPr>
        <w:ind w:firstLine="445"/>
        <w:spacing w:after="0" w:line="287" w:lineRule="auto"/>
        <w:rPr>
          <w:sz w:val="20"/>
          <w:szCs w:val="20"/>
          <w:color w:val="auto"/>
        </w:rPr>
      </w:pPr>
      <w:r>
        <w:rPr>
          <w:rFonts w:ascii="Arial" w:cs="Arial" w:eastAsia="Arial" w:hAnsi="Arial"/>
          <w:sz w:val="16"/>
          <w:szCs w:val="16"/>
          <w:color w:val="auto"/>
        </w:rPr>
        <w:t>The aerospace businesses serve both commercial and government aerospace customers. Revenue passenger miles (RPMs), U.S. Government military and space spending, and the general economic health of airline carriers are all barometers for our aerospace businesses. Performance in the general aviation sector is closely tied to the overall health of the economy and is positively correlated to corporate profits. As previously discussed, the COVID-19 pandemic has negatively affected the U.S. and global economy, disrupted global supply chains and financial markets, and resulted in significant travel restrictions which have a significant and direct impact on the operational and financial performance of our Aerospace businesses. We have begun to experience issues in our Aerospace businesses related to COVID-19, primarily related to a few facility closures, less than full staffing, and disruptions in supplier deliveries. However, our customers continued to receive our products during the quarter and the outbreak did not have a significant impact on our operating results for the three months ended March 31, 2020. Given the significant reduction in worldwide flights, increased numbers of planes temporarily grounded and continued travel restrictions that have resulted from the pandemic, we expect our future operating results to be significantly impacted beginning in the second quarter of 2020. As of April 14, 2020, the International Air Transport Association had estimated that RPMs for the year ending December 31, 2020 could decline by 48% in comparison to the prior year as a result of the pandemic. The extent of this impact will depend on a wide range of future developments as previously discussed, all of which are uncertain and cannot be accurately predicted.</w:t>
      </w:r>
    </w:p>
    <w:p>
      <w:pPr>
        <w:spacing w:after="0" w:line="6" w:lineRule="exact"/>
        <w:rPr>
          <w:sz w:val="20"/>
          <w:szCs w:val="20"/>
          <w:color w:val="auto"/>
        </w:rPr>
      </w:pPr>
    </w:p>
    <w:p>
      <w:pPr>
        <w:ind w:right="120" w:firstLine="445"/>
        <w:spacing w:after="0" w:line="293" w:lineRule="auto"/>
        <w:rPr>
          <w:sz w:val="20"/>
          <w:szCs w:val="20"/>
          <w:color w:val="auto"/>
        </w:rPr>
      </w:pPr>
      <w:r>
        <w:rPr>
          <w:rFonts w:ascii="Arial" w:cs="Arial" w:eastAsia="Arial" w:hAnsi="Arial"/>
          <w:sz w:val="16"/>
          <w:szCs w:val="16"/>
          <w:color w:val="auto"/>
        </w:rPr>
        <w:t>Our commercial aftermarket businesses continue to evolve as a significant portion of our aerospace businesses' customers are covered under long-term aftermarket service agreements at Pratt &amp; Whitney and Collins Aerospace Systems. These agreements are comprehensive long-term spare part and service agreements with our customers. We expect a continued shift to long-term aftermarket service agreements in lieu of transactional spare part sales as new aerospace products enter our customers' fleets under long-term service agreements and legacy fleets are retired. However, this trend may be impacted by actions taken by customers as a result of the COVID-19 pandemic as described above. For the first three months of 2020, as compared with 2019, total commercial aerospace aftermarket sales increased 3% at Collins Aerospace Systems and 4% at Pratt &amp; Whitney.</w:t>
      </w:r>
    </w:p>
    <w:p>
      <w:pPr>
        <w:spacing w:after="0" w:line="56" w:lineRule="exact"/>
        <w:rPr>
          <w:sz w:val="20"/>
          <w:szCs w:val="20"/>
          <w:color w:val="auto"/>
        </w:rPr>
      </w:pPr>
    </w:p>
    <w:p>
      <w:pPr>
        <w:jc w:val="both"/>
        <w:ind w:right="140" w:firstLine="445"/>
        <w:spacing w:after="0" w:line="263" w:lineRule="auto"/>
        <w:rPr>
          <w:sz w:val="20"/>
          <w:szCs w:val="20"/>
          <w:color w:val="auto"/>
        </w:rPr>
      </w:pPr>
      <w:r>
        <w:rPr>
          <w:rFonts w:ascii="Arial" w:cs="Arial" w:eastAsia="Arial" w:hAnsi="Arial"/>
          <w:sz w:val="18"/>
          <w:szCs w:val="18"/>
          <w:color w:val="auto"/>
        </w:rPr>
        <w:t>Operating profit in the quarter ended March 31, 2020 included net favorable changes in aerospace contract estimates totaling $10 million, reflecting net favorable contract adjustments at Collins Aerospace Systems of $28 million, partially offset by net unfavorable contract adjustments of $18 million at Pratt &amp; Whitney. Operating profit in the quarter ended March 31,</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42" w:name="page43"/>
    <w:bookmarkEnd w:id="42"/>
    <w:p>
      <w:pPr>
        <w:ind w:right="560"/>
        <w:spacing w:after="0" w:line="277" w:lineRule="auto"/>
        <w:rPr>
          <w:sz w:val="20"/>
          <w:szCs w:val="20"/>
          <w:color w:val="auto"/>
        </w:rPr>
      </w:pPr>
      <w:r>
        <w:rPr>
          <w:rFonts w:ascii="Arial" w:cs="Arial" w:eastAsia="Arial" w:hAnsi="Arial"/>
          <w:sz w:val="18"/>
          <w:szCs w:val="18"/>
          <w:color w:val="auto"/>
        </w:rPr>
        <w:t>2019 included significant net unfavorable changes in aerospace contract estimates totaling $12 million, primarily reflecting unfavorable net contract adjustments at Pratt &amp; Whitney.</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Summary performance for each of the aerospace businesses for the quarters ended March 31, 2020 and 2019 was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Pratt &amp; Whitney</w:t>
            </w: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ind w:left="680"/>
              <w:spacing w:after="0"/>
              <w:rPr>
                <w:sz w:val="20"/>
                <w:szCs w:val="20"/>
                <w:color w:val="auto"/>
              </w:rPr>
            </w:pPr>
            <w:r>
              <w:rPr>
                <w:rFonts w:ascii="Arial" w:cs="Arial" w:eastAsia="Arial" w:hAnsi="Arial"/>
                <w:sz w:val="14"/>
                <w:szCs w:val="14"/>
                <w:b w:val="1"/>
                <w:bCs w:val="1"/>
                <w:color w:val="auto"/>
                <w:w w:val="91"/>
              </w:rPr>
              <w:t>Collins Aerospace Systems</w:t>
            </w:r>
          </w:p>
        </w:tc>
        <w:tc>
          <w:tcPr>
            <w:tcW w:w="860" w:type="dxa"/>
            <w:vAlign w:val="bottom"/>
            <w:tcBorders>
              <w:bottom w:val="single" w:sz="8" w:color="auto"/>
            </w:tcBorders>
          </w:tcPr>
          <w:p>
            <w:pPr>
              <w:spacing w:after="0"/>
              <w:rPr>
                <w:sz w:val="16"/>
                <w:szCs w:val="16"/>
                <w:color w:val="auto"/>
              </w:rPr>
            </w:pPr>
          </w:p>
        </w:tc>
      </w:tr>
      <w:tr>
        <w:trPr>
          <w:trHeight w:val="196"/>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Change</w:t>
            </w: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5,351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4,817</w:t>
            </w:r>
          </w:p>
        </w:tc>
        <w:tc>
          <w:tcPr>
            <w:tcW w:w="11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6,438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6,513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ind w:right="133"/>
              <w:spacing w:after="0"/>
              <w:rPr>
                <w:sz w:val="20"/>
                <w:szCs w:val="20"/>
                <w:color w:val="auto"/>
              </w:rPr>
            </w:pPr>
            <w:r>
              <w:rPr>
                <w:rFonts w:ascii="Arial" w:cs="Arial" w:eastAsia="Arial" w:hAnsi="Arial"/>
                <w:sz w:val="18"/>
                <w:szCs w:val="18"/>
                <w:color w:val="auto"/>
                <w:w w:val="94"/>
              </w:rPr>
              <w:t>(1)%</w:t>
            </w: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4,393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3,931</w:t>
            </w:r>
          </w:p>
        </w:tc>
        <w:tc>
          <w:tcPr>
            <w:tcW w:w="11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55"/>
              <w:spacing w:after="0"/>
              <w:rPr>
                <w:sz w:val="20"/>
                <w:szCs w:val="20"/>
                <w:color w:val="auto"/>
              </w:rPr>
            </w:pPr>
            <w:r>
              <w:rPr>
                <w:rFonts w:ascii="Arial" w:cs="Arial" w:eastAsia="Arial" w:hAnsi="Arial"/>
                <w:sz w:val="18"/>
                <w:szCs w:val="18"/>
                <w:color w:val="auto"/>
              </w:rPr>
              <w:t>4,576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4,830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center"/>
              <w:ind w:right="133"/>
              <w:spacing w:after="0"/>
              <w:rPr>
                <w:sz w:val="20"/>
                <w:szCs w:val="20"/>
                <w:color w:val="auto"/>
              </w:rPr>
            </w:pPr>
            <w:r>
              <w:rPr>
                <w:rFonts w:ascii="Arial" w:cs="Arial" w:eastAsia="Arial" w:hAnsi="Arial"/>
                <w:sz w:val="18"/>
                <w:szCs w:val="18"/>
                <w:color w:val="auto"/>
                <w:w w:val="94"/>
              </w:rPr>
              <w:t>(5)%</w:t>
            </w:r>
          </w:p>
        </w:tc>
      </w:tr>
      <w:tr>
        <w:trPr>
          <w:trHeight w:val="27"/>
        </w:trPr>
        <w:tc>
          <w:tcPr>
            <w:tcW w:w="4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43"/>
        </w:trPr>
        <w:tc>
          <w:tcPr>
            <w:tcW w:w="4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886</w:t>
            </w:r>
          </w:p>
        </w:tc>
        <w:tc>
          <w:tcPr>
            <w:tcW w:w="11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1,862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1,683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ind w:right="133"/>
              <w:spacing w:after="0"/>
              <w:rPr>
                <w:sz w:val="20"/>
                <w:szCs w:val="20"/>
                <w:color w:val="auto"/>
              </w:rPr>
            </w:pPr>
            <w:r>
              <w:rPr>
                <w:rFonts w:ascii="Arial" w:cs="Arial" w:eastAsia="Arial" w:hAnsi="Arial"/>
                <w:sz w:val="18"/>
                <w:szCs w:val="18"/>
                <w:color w:val="auto"/>
                <w:w w:val="88"/>
              </w:rPr>
              <w:t>11%</w:t>
            </w: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Operating Expenses and Other</w:t>
            </w:r>
          </w:p>
        </w:tc>
        <w:tc>
          <w:tcPr>
            <w:tcW w:w="260" w:type="dxa"/>
            <w:vAlign w:val="bottom"/>
          </w:tcPr>
          <w:p>
            <w:pPr>
              <w:spacing w:after="0"/>
              <w:rPr>
                <w:sz w:val="21"/>
                <w:szCs w:val="21"/>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453</w:t>
            </w:r>
          </w:p>
        </w:tc>
        <w:tc>
          <w:tcPr>
            <w:tcW w:w="11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55"/>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827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center"/>
              <w:ind w:right="133"/>
              <w:spacing w:after="0"/>
              <w:rPr>
                <w:sz w:val="20"/>
                <w:szCs w:val="20"/>
                <w:color w:val="auto"/>
              </w:rPr>
            </w:pPr>
            <w:r>
              <w:rPr>
                <w:rFonts w:ascii="Arial" w:cs="Arial" w:eastAsia="Arial" w:hAnsi="Arial"/>
                <w:sz w:val="18"/>
                <w:szCs w:val="18"/>
                <w:color w:val="auto"/>
                <w:w w:val="94"/>
              </w:rPr>
              <w:t>(7)%</w:t>
            </w:r>
          </w:p>
        </w:tc>
      </w:tr>
      <w:tr>
        <w:trPr>
          <w:trHeight w:val="27"/>
        </w:trPr>
        <w:tc>
          <w:tcPr>
            <w:tcW w:w="4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88"/>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Profits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433</w:t>
            </w:r>
          </w:p>
        </w:tc>
        <w:tc>
          <w:tcPr>
            <w:tcW w:w="11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1,092</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856</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center"/>
              <w:ind w:right="153"/>
              <w:spacing w:after="0"/>
              <w:rPr>
                <w:sz w:val="20"/>
                <w:szCs w:val="20"/>
                <w:color w:val="auto"/>
              </w:rPr>
            </w:pPr>
            <w:r>
              <w:rPr>
                <w:rFonts w:ascii="Arial" w:cs="Arial" w:eastAsia="Arial" w:hAnsi="Arial"/>
                <w:sz w:val="18"/>
                <w:szCs w:val="18"/>
                <w:color w:val="auto"/>
                <w:w w:val="94"/>
              </w:rPr>
              <w:t>28%</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r>
      <w:tr>
        <w:trPr>
          <w:trHeight w:val="595"/>
        </w:trPr>
        <w:tc>
          <w:tcPr>
            <w:tcW w:w="4140" w:type="dxa"/>
            <w:vAlign w:val="bottom"/>
          </w:tcPr>
          <w:p>
            <w:pPr>
              <w:ind w:left="40"/>
              <w:spacing w:after="0"/>
              <w:rPr>
                <w:sz w:val="20"/>
                <w:szCs w:val="20"/>
                <w:color w:val="auto"/>
              </w:rPr>
            </w:pPr>
            <w:r>
              <w:rPr>
                <w:rFonts w:ascii="Arial" w:cs="Arial" w:eastAsia="Arial" w:hAnsi="Arial"/>
                <w:sz w:val="18"/>
                <w:szCs w:val="18"/>
                <w:color w:val="auto"/>
              </w:rPr>
              <w:t>Operating Profit Margins</w:t>
            </w:r>
          </w:p>
        </w:tc>
        <w:tc>
          <w:tcPr>
            <w:tcW w:w="260" w:type="dxa"/>
            <w:vAlign w:val="bottom"/>
          </w:tcPr>
          <w:p>
            <w:pPr>
              <w:spacing w:after="0"/>
              <w:rPr>
                <w:sz w:val="24"/>
                <w:szCs w:val="24"/>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8.2 %</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9.0 %</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17.0 %</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13.1 %</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Pratt &amp; Whitney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March 31, 2020 Compared with Quarter Ended March 31, 2019</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74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w w:val="94"/>
              </w:rPr>
              <w:t>Factors Contributing to Total % Change</w:t>
            </w: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00" w:type="dxa"/>
            <w:vAlign w:val="bottom"/>
          </w:tcPr>
          <w:p>
            <w:pPr>
              <w:spacing w:after="0"/>
              <w:rPr>
                <w:sz w:val="13"/>
                <w:szCs w:val="13"/>
                <w:color w:val="auto"/>
              </w:rPr>
            </w:pPr>
          </w:p>
        </w:tc>
        <w:tc>
          <w:tcPr>
            <w:tcW w:w="1560" w:type="dxa"/>
            <w:vAlign w:val="bottom"/>
            <w:gridSpan w:val="2"/>
          </w:tcPr>
          <w:p>
            <w:pPr>
              <w:ind w:left="440"/>
              <w:spacing w:after="0" w:line="153" w:lineRule="exact"/>
              <w:rPr>
                <w:sz w:val="20"/>
                <w:szCs w:val="20"/>
                <w:color w:val="auto"/>
              </w:rPr>
            </w:pPr>
            <w:r>
              <w:rPr>
                <w:rFonts w:ascii="Arial" w:cs="Arial" w:eastAsia="Arial" w:hAnsi="Arial"/>
                <w:sz w:val="14"/>
                <w:szCs w:val="14"/>
                <w:b w:val="1"/>
                <w:bCs w:val="1"/>
                <w:color w:val="auto"/>
              </w:rPr>
              <w:t>Organic /</w:t>
            </w:r>
          </w:p>
        </w:tc>
        <w:tc>
          <w:tcPr>
            <w:tcW w:w="1580" w:type="dxa"/>
            <w:vAlign w:val="bottom"/>
            <w:gridSpan w:val="2"/>
          </w:tcPr>
          <w:p>
            <w:pPr>
              <w:ind w:left="640"/>
              <w:spacing w:after="0" w:line="153" w:lineRule="exact"/>
              <w:rPr>
                <w:sz w:val="20"/>
                <w:szCs w:val="20"/>
                <w:color w:val="auto"/>
              </w:rPr>
            </w:pPr>
            <w:r>
              <w:rPr>
                <w:rFonts w:ascii="Arial" w:cs="Arial" w:eastAsia="Arial" w:hAnsi="Arial"/>
                <w:sz w:val="14"/>
                <w:szCs w:val="14"/>
                <w:b w:val="1"/>
                <w:bCs w:val="1"/>
                <w:color w:val="auto"/>
              </w:rPr>
              <w:t>FX</w:t>
            </w:r>
          </w:p>
        </w:tc>
        <w:tc>
          <w:tcPr>
            <w:tcW w:w="15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Acquisitions /</w:t>
            </w:r>
          </w:p>
        </w:tc>
        <w:tc>
          <w:tcPr>
            <w:tcW w:w="1580" w:type="dxa"/>
            <w:vAlign w:val="bottom"/>
            <w:gridSpan w:val="2"/>
          </w:tcPr>
          <w:p>
            <w:pPr>
              <w:ind w:left="320"/>
              <w:spacing w:after="0" w:line="153" w:lineRule="exact"/>
              <w:rPr>
                <w:sz w:val="20"/>
                <w:szCs w:val="20"/>
                <w:color w:val="auto"/>
              </w:rPr>
            </w:pPr>
            <w:r>
              <w:rPr>
                <w:rFonts w:ascii="Arial" w:cs="Arial" w:eastAsia="Arial" w:hAnsi="Arial"/>
                <w:sz w:val="14"/>
                <w:szCs w:val="14"/>
                <w:b w:val="1"/>
                <w:bCs w:val="1"/>
                <w:color w:val="auto"/>
              </w:rPr>
              <w:t>Restructuring</w:t>
            </w:r>
          </w:p>
        </w:tc>
        <w:tc>
          <w:tcPr>
            <w:tcW w:w="144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5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Operational</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Translation*</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Divestitures, net</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 %</w:t>
            </w:r>
          </w:p>
        </w:tc>
        <w:tc>
          <w:tcPr>
            <w:tcW w:w="1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440" w:type="dxa"/>
            <w:vAlign w:val="bottom"/>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21"/>
                <w:szCs w:val="21"/>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580" w:type="dxa"/>
            <w:vAlign w:val="bottom"/>
            <w:gridSpan w:val="2"/>
          </w:tcPr>
          <w:p>
            <w:pPr>
              <w:ind w:left="1060"/>
              <w:spacing w:after="0"/>
              <w:rPr>
                <w:sz w:val="20"/>
                <w:szCs w:val="20"/>
                <w:color w:val="auto"/>
              </w:rPr>
            </w:pPr>
            <w:r>
              <w:rPr>
                <w:rFonts w:ascii="Arial" w:cs="Arial" w:eastAsia="Arial" w:hAnsi="Arial"/>
                <w:sz w:val="18"/>
                <w:szCs w:val="18"/>
                <w:color w:val="auto"/>
              </w:rPr>
              <w:t>— %</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4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 %</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5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260" w:firstLine="8"/>
        <w:spacing w:after="0" w:line="301" w:lineRule="auto"/>
        <w:tabs>
          <w:tab w:leader="none" w:pos="135"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For Pratt &amp; Whitney only, the transactional impact of foreign exchange hedging at Pratt &amp; Whitney Canada has been netted against the translational foreign exchange impact for presentation purposes in the table above. For all other segments these foreign exchange transactional impacts are included within the organic/operational caption in their respective tables. Due to its significance to Pratt &amp; Whitney's overall operating results, we believe it is useful to segregate the foreign exchange transactional impact in order to clearly identify the underlying financial performance.</w:t>
      </w:r>
    </w:p>
    <w:p>
      <w:pPr>
        <w:spacing w:after="0" w:line="184" w:lineRule="exact"/>
        <w:rPr>
          <w:sz w:val="20"/>
          <w:szCs w:val="20"/>
          <w:color w:val="auto"/>
        </w:rPr>
      </w:pPr>
    </w:p>
    <w:p>
      <w:pPr>
        <w:ind w:right="800" w:firstLine="405"/>
        <w:spacing w:after="0" w:line="277" w:lineRule="auto"/>
        <w:rPr>
          <w:sz w:val="20"/>
          <w:szCs w:val="20"/>
          <w:color w:val="auto"/>
        </w:rPr>
      </w:pPr>
      <w:r>
        <w:rPr>
          <w:rFonts w:ascii="Arial" w:cs="Arial" w:eastAsia="Arial" w:hAnsi="Arial"/>
          <w:sz w:val="18"/>
          <w:szCs w:val="18"/>
          <w:color w:val="auto"/>
        </w:rPr>
        <w:t>The organic sales growth of 12% primarily reflects higher commercial OEM sales (5%), higher military sales (5%), and higher commercial aftermarket sales (2%).</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operational profit increase of 8% was primarily driven by:</w:t>
      </w:r>
    </w:p>
    <w:p>
      <w:pPr>
        <w:spacing w:after="0" w:line="23" w:lineRule="exact"/>
        <w:rPr>
          <w:sz w:val="20"/>
          <w:szCs w:val="20"/>
          <w:color w:val="auto"/>
        </w:rPr>
      </w:pPr>
    </w:p>
    <w:p>
      <w:pPr>
        <w:ind w:left="800" w:hanging="144"/>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higher military margin contribution (13%) driven by the sales increase noted above</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favorable impact of a customer contract settlement (9%)</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lower research and development costs (9%)</w:t>
      </w:r>
    </w:p>
    <w:p>
      <w:pPr>
        <w:spacing w:after="0" w:line="4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increases were partially offset by:</w:t>
      </w:r>
    </w:p>
    <w:p>
      <w:pPr>
        <w:spacing w:after="0" w:line="23" w:lineRule="exact"/>
        <w:rPr>
          <w:sz w:val="20"/>
          <w:szCs w:val="20"/>
          <w:color w:val="auto"/>
        </w:rPr>
      </w:pPr>
    </w:p>
    <w:p>
      <w:pPr>
        <w:ind w:left="900" w:right="260" w:hanging="244"/>
        <w:spacing w:after="0" w:line="260" w:lineRule="auto"/>
        <w:tabs>
          <w:tab w:leader="none" w:pos="81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higher selling, general and administrative expenses (21%), primarily driven by an increase in estimated credit loss reserves resulting from the impact of the COVID-19 pandemic</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7% decrease in "Other" primarily reflects the absence of a prior year licensing sale (4%) and the absence of a prior year gain on a divestiture (3%).</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Collins Aerospace Systems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March 31, 2020 Compared with Quarter Ended March 31, 2019</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740" w:type="dxa"/>
            <w:vAlign w:val="bottom"/>
            <w:tcBorders>
              <w:bottom w:val="single" w:sz="8" w:color="auto"/>
            </w:tcBorders>
            <w:gridSpan w:val="6"/>
          </w:tcPr>
          <w:p>
            <w:pPr>
              <w:ind w:left="1060"/>
              <w:spacing w:after="0"/>
              <w:rPr>
                <w:sz w:val="20"/>
                <w:szCs w:val="20"/>
                <w:color w:val="auto"/>
              </w:rPr>
            </w:pPr>
            <w:r>
              <w:rPr>
                <w:rFonts w:ascii="Arial" w:cs="Arial" w:eastAsia="Arial" w:hAnsi="Arial"/>
                <w:sz w:val="14"/>
                <w:szCs w:val="14"/>
                <w:b w:val="1"/>
                <w:bCs w:val="1"/>
                <w:color w:val="auto"/>
              </w:rPr>
              <w:t>Factors Contributing to Total % Change</w:t>
            </w: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80" w:type="dxa"/>
            <w:vAlign w:val="bottom"/>
          </w:tcPr>
          <w:p>
            <w:pPr>
              <w:spacing w:after="0"/>
              <w:rPr>
                <w:sz w:val="13"/>
                <w:szCs w:val="13"/>
                <w:color w:val="auto"/>
              </w:rPr>
            </w:pPr>
          </w:p>
        </w:tc>
        <w:tc>
          <w:tcPr>
            <w:tcW w:w="1560" w:type="dxa"/>
            <w:vAlign w:val="bottom"/>
            <w:gridSpan w:val="2"/>
          </w:tcPr>
          <w:p>
            <w:pPr>
              <w:ind w:left="440"/>
              <w:spacing w:after="0" w:line="153" w:lineRule="exact"/>
              <w:rPr>
                <w:sz w:val="20"/>
                <w:szCs w:val="20"/>
                <w:color w:val="auto"/>
              </w:rPr>
            </w:pPr>
            <w:r>
              <w:rPr>
                <w:rFonts w:ascii="Arial" w:cs="Arial" w:eastAsia="Arial" w:hAnsi="Arial"/>
                <w:sz w:val="14"/>
                <w:szCs w:val="14"/>
                <w:b w:val="1"/>
                <w:bCs w:val="1"/>
                <w:color w:val="auto"/>
              </w:rPr>
              <w:t>Organic /</w:t>
            </w:r>
          </w:p>
        </w:tc>
        <w:tc>
          <w:tcPr>
            <w:tcW w:w="1560" w:type="dxa"/>
            <w:vAlign w:val="bottom"/>
            <w:gridSpan w:val="2"/>
          </w:tcPr>
          <w:p>
            <w:pPr>
              <w:ind w:left="640"/>
              <w:spacing w:after="0" w:line="153" w:lineRule="exact"/>
              <w:rPr>
                <w:sz w:val="20"/>
                <w:szCs w:val="20"/>
                <w:color w:val="auto"/>
              </w:rPr>
            </w:pPr>
            <w:r>
              <w:rPr>
                <w:rFonts w:ascii="Arial" w:cs="Arial" w:eastAsia="Arial" w:hAnsi="Arial"/>
                <w:sz w:val="14"/>
                <w:szCs w:val="14"/>
                <w:b w:val="1"/>
                <w:bCs w:val="1"/>
                <w:color w:val="auto"/>
              </w:rPr>
              <w:t>FX</w:t>
            </w:r>
          </w:p>
        </w:tc>
        <w:tc>
          <w:tcPr>
            <w:tcW w:w="1600" w:type="dxa"/>
            <w:vAlign w:val="bottom"/>
            <w:gridSpan w:val="2"/>
          </w:tcPr>
          <w:p>
            <w:pPr>
              <w:ind w:left="340"/>
              <w:spacing w:after="0" w:line="153" w:lineRule="exact"/>
              <w:rPr>
                <w:sz w:val="20"/>
                <w:szCs w:val="20"/>
                <w:color w:val="auto"/>
              </w:rPr>
            </w:pPr>
            <w:r>
              <w:rPr>
                <w:rFonts w:ascii="Arial" w:cs="Arial" w:eastAsia="Arial" w:hAnsi="Arial"/>
                <w:sz w:val="14"/>
                <w:szCs w:val="14"/>
                <w:b w:val="1"/>
                <w:bCs w:val="1"/>
                <w:color w:val="auto"/>
              </w:rPr>
              <w:t>Acquisitions /</w:t>
            </w:r>
          </w:p>
        </w:tc>
        <w:tc>
          <w:tcPr>
            <w:tcW w:w="158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Restructuring</w:t>
            </w:r>
          </w:p>
        </w:tc>
        <w:tc>
          <w:tcPr>
            <w:tcW w:w="144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48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Operational</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Divestitures, net</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 %</w:t>
            </w:r>
          </w:p>
        </w:tc>
        <w:tc>
          <w:tcPr>
            <w:tcW w:w="1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560" w:type="dxa"/>
            <w:vAlign w:val="bottom"/>
            <w:gridSpan w:val="2"/>
          </w:tcPr>
          <w:p>
            <w:pPr>
              <w:ind w:left="1040"/>
              <w:spacing w:after="0"/>
              <w:rPr>
                <w:sz w:val="20"/>
                <w:szCs w:val="20"/>
                <w:color w:val="auto"/>
              </w:rPr>
            </w:pPr>
            <w:r>
              <w:rPr>
                <w:rFonts w:ascii="Arial" w:cs="Arial" w:eastAsia="Arial" w:hAnsi="Arial"/>
                <w:sz w:val="18"/>
                <w:szCs w:val="18"/>
                <w:color w:val="auto"/>
              </w:rPr>
              <w:t>— %</w:t>
            </w: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 %</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7"/>
        </w:trPr>
        <w:tc>
          <w:tcPr>
            <w:tcW w:w="34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type w:val="continuous"/>
        </w:sectPr>
      </w:pPr>
    </w:p>
    <w:bookmarkStart w:id="43" w:name="page44"/>
    <w:bookmarkEnd w:id="43"/>
    <w:p>
      <w:pPr>
        <w:ind w:right="340" w:firstLine="405"/>
        <w:spacing w:after="0" w:line="342" w:lineRule="auto"/>
        <w:rPr>
          <w:sz w:val="20"/>
          <w:szCs w:val="20"/>
          <w:color w:val="auto"/>
        </w:rPr>
      </w:pPr>
      <w:r>
        <w:rPr>
          <w:rFonts w:ascii="Arial" w:cs="Arial" w:eastAsia="Arial" w:hAnsi="Arial"/>
          <w:sz w:val="16"/>
          <w:szCs w:val="16"/>
          <w:color w:val="auto"/>
        </w:rPr>
        <w:t>The organic sales decrease of 1% reflects lower commercial aerospace OEM sales (5%) primarily driven by lower sales related to the Boeing 737 Max program (3%). This decline was partially offset by higher military sales (3%), and higher commercial aerospace aftermarket sales (1%).</w:t>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decrease in operational profit of 5% primarily reflects:</w:t>
      </w:r>
    </w:p>
    <w:p>
      <w:pPr>
        <w:spacing w:after="0" w:line="23" w:lineRule="exact"/>
        <w:rPr>
          <w:sz w:val="20"/>
          <w:szCs w:val="20"/>
          <w:color w:val="auto"/>
        </w:rPr>
      </w:pPr>
    </w:p>
    <w:p>
      <w:pPr>
        <w:ind w:left="900" w:right="760" w:hanging="244"/>
        <w:spacing w:after="0" w:line="290" w:lineRule="auto"/>
        <w:tabs>
          <w:tab w:leader="none" w:pos="895" w:val="left"/>
        </w:tabs>
        <w:numPr>
          <w:ilvl w:val="0"/>
          <w:numId w:val="11"/>
        </w:numPr>
        <w:rPr>
          <w:rFonts w:ascii="Arial" w:cs="Arial" w:eastAsia="Arial" w:hAnsi="Arial"/>
          <w:sz w:val="17"/>
          <w:szCs w:val="17"/>
          <w:color w:val="auto"/>
        </w:rPr>
      </w:pPr>
      <w:r>
        <w:rPr>
          <w:rFonts w:ascii="Arial" w:cs="Arial" w:eastAsia="Arial" w:hAnsi="Arial"/>
          <w:sz w:val="17"/>
          <w:szCs w:val="17"/>
          <w:color w:val="auto"/>
        </w:rPr>
        <w:t>lower commercial aerospace margin contribution (15%) driven by lower commercial aerospace OEM sales and charges related to the unfavorable impact of the COVID-19 pandemic, partially offset by the commercial aftermarket sales growth noted above</w:t>
      </w:r>
    </w:p>
    <w:p>
      <w:pPr>
        <w:spacing w:after="0" w:line="5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decrease was partially offset by:</w:t>
      </w:r>
    </w:p>
    <w:p>
      <w:pPr>
        <w:spacing w:after="0" w:line="23" w:lineRule="exact"/>
        <w:rPr>
          <w:sz w:val="20"/>
          <w:szCs w:val="20"/>
          <w:color w:val="auto"/>
        </w:rPr>
      </w:pPr>
    </w:p>
    <w:p>
      <w:pPr>
        <w:ind w:left="900" w:hanging="244"/>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gains on the revaluation of net monetary assets to their functional currencies (3%)</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higher military margin contribution (2%) driven by the sales growth noted above</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lower research and development costs (2%)</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favorable impact of a contract related matter (2%)</w:t>
      </w:r>
    </w:p>
    <w:p>
      <w:pPr>
        <w:spacing w:after="0" w:line="103" w:lineRule="exact"/>
        <w:rPr>
          <w:sz w:val="20"/>
          <w:szCs w:val="20"/>
          <w:color w:val="auto"/>
        </w:rPr>
      </w:pPr>
    </w:p>
    <w:p>
      <w:pPr>
        <w:ind w:right="300" w:firstLine="405"/>
        <w:spacing w:after="0" w:line="263" w:lineRule="auto"/>
        <w:rPr>
          <w:sz w:val="20"/>
          <w:szCs w:val="20"/>
          <w:color w:val="auto"/>
        </w:rPr>
      </w:pPr>
      <w:r>
        <w:rPr>
          <w:rFonts w:ascii="Arial" w:cs="Arial" w:eastAsia="Arial" w:hAnsi="Arial"/>
          <w:sz w:val="18"/>
          <w:szCs w:val="18"/>
          <w:color w:val="auto"/>
        </w:rPr>
        <w:t>The 23% increase in "Other" primarily reflects the absence of prior year amortization of inventory fair value step-up associated with the Rockwell Collins acquisition (21%), and the absence of a prior year loss on the sale of a business (3%), partially offset by a partial impairment of a tradename primarily resulting from the projected impact of COVID-19 (5%).</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 and other –</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259"/>
              <w:spacing w:after="0"/>
              <w:rPr>
                <w:sz w:val="20"/>
                <w:szCs w:val="20"/>
                <w:color w:val="auto"/>
              </w:rPr>
            </w:pPr>
            <w:r>
              <w:rPr>
                <w:rFonts w:ascii="Arial" w:cs="Arial" w:eastAsia="Arial" w:hAnsi="Arial"/>
                <w:sz w:val="14"/>
                <w:szCs w:val="14"/>
                <w:b w:val="1"/>
                <w:bCs w:val="1"/>
                <w:color w:val="auto"/>
                <w:w w:val="88"/>
              </w:rPr>
              <w:t>Net Sales</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96"/>
              </w:rPr>
              <w:t>Operating Profits</w:t>
            </w:r>
          </w:p>
        </w:tc>
        <w:tc>
          <w:tcPr>
            <w:tcW w:w="900" w:type="dxa"/>
            <w:vAlign w:val="bottom"/>
            <w:tcBorders>
              <w:bottom w:val="single" w:sz="8" w:color="auto"/>
            </w:tcBorders>
          </w:tcPr>
          <w:p>
            <w:pPr>
              <w:spacing w:after="0"/>
              <w:rPr>
                <w:sz w:val="16"/>
                <w:szCs w:val="16"/>
                <w:color w:val="auto"/>
              </w:rPr>
            </w:pPr>
          </w:p>
        </w:tc>
      </w:tr>
      <w:tr>
        <w:trPr>
          <w:trHeight w:val="196"/>
        </w:trPr>
        <w:tc>
          <w:tcPr>
            <w:tcW w:w="5200" w:type="dxa"/>
            <w:vAlign w:val="bottom"/>
          </w:tcPr>
          <w:p>
            <w:pPr>
              <w:spacing w:after="0"/>
              <w:rPr>
                <w:sz w:val="17"/>
                <w:szCs w:val="17"/>
                <w:color w:val="auto"/>
              </w:rPr>
            </w:pPr>
          </w:p>
        </w:tc>
        <w:tc>
          <w:tcPr>
            <w:tcW w:w="2420" w:type="dxa"/>
            <w:vAlign w:val="bottom"/>
            <w:tcBorders>
              <w:bottom w:val="single" w:sz="8" w:color="auto"/>
            </w:tcBorders>
            <w:gridSpan w:val="4"/>
          </w:tcPr>
          <w:p>
            <w:pPr>
              <w:jc w:val="center"/>
              <w:ind w:left="462"/>
              <w:spacing w:after="0"/>
              <w:rPr>
                <w:sz w:val="20"/>
                <w:szCs w:val="20"/>
                <w:color w:val="auto"/>
              </w:rPr>
            </w:pPr>
            <w:r>
              <w:rPr>
                <w:rFonts w:ascii="Arial" w:cs="Arial" w:eastAsia="Arial" w:hAnsi="Arial"/>
                <w:sz w:val="14"/>
                <w:szCs w:val="14"/>
                <w:b w:val="1"/>
                <w:bCs w:val="1"/>
                <w:color w:val="auto"/>
                <w:w w:val="96"/>
              </w:rPr>
              <w:t>Quarter Ended March 31,</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Quarter Ended March 31,</w:t>
            </w:r>
          </w:p>
        </w:tc>
      </w:tr>
      <w:tr>
        <w:trPr>
          <w:trHeight w:val="196"/>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w w:val="96"/>
              </w:rPr>
              <w:t>2019</w:t>
            </w:r>
          </w:p>
        </w:tc>
      </w:tr>
      <w:tr>
        <w:trPr>
          <w:trHeight w:val="249"/>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Eliminations and other</w:t>
            </w:r>
          </w:p>
        </w:tc>
        <w:tc>
          <w:tcPr>
            <w:tcW w:w="88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(433)</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(101)</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General corporate expenses</w:t>
            </w:r>
          </w:p>
        </w:tc>
        <w:tc>
          <w:tcPr>
            <w:tcW w:w="880" w:type="dxa"/>
            <w:vAlign w:val="bottom"/>
          </w:tcPr>
          <w:p>
            <w:pPr>
              <w:spacing w:after="0"/>
              <w:rPr>
                <w:sz w:val="21"/>
                <w:szCs w:val="21"/>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ind w:left="62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(98)</w:t>
            </w:r>
          </w:p>
        </w:tc>
      </w:tr>
    </w:tbl>
    <w:p>
      <w:pPr>
        <w:spacing w:after="0" w:line="12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Eliminations and other reflects the elimination of sales, other income and operating profit transacted between segments, as well as the operating results of certain smaller businesses. The year-over-year increase in sales eliminations for the quarter ended March 31, 2020, as compared to the same periods of 2019, reflects an increase in the amount of inter-segment eliminations, principally between our aerospace businesses. The decrease in operating profits related to Eliminations and other for the quarter ended March 31, 2020 is primarily driven by costs associated with the Separation Transactions as well as costs associated with the Raytheon Merger.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FINANCIAL CONDITION</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2020</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December 31, 2019</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March 31, 2019</w:t>
            </w:r>
          </w:p>
        </w:tc>
        <w:tc>
          <w:tcPr>
            <w:tcW w:w="200" w:type="dxa"/>
            <w:vAlign w:val="bottom"/>
            <w:tcBorders>
              <w:bottom w:val="single" w:sz="8" w:color="auto"/>
            </w:tcBorders>
          </w:tcPr>
          <w:p>
            <w:pPr>
              <w:spacing w:after="0"/>
              <w:rPr>
                <w:sz w:val="16"/>
                <w:szCs w:val="16"/>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8,001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7,378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6,240</w:t>
            </w: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220" w:type="dxa"/>
            <w:vAlign w:val="bottom"/>
          </w:tcPr>
          <w:p>
            <w:pPr>
              <w:spacing w:after="0"/>
              <w:rPr>
                <w:sz w:val="21"/>
                <w:szCs w:val="21"/>
                <w:color w:val="auto"/>
              </w:rPr>
            </w:pP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46,319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43,648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45,186</w:t>
            </w:r>
          </w:p>
        </w:tc>
      </w:tr>
      <w:tr>
        <w:trPr>
          <w:trHeight w:val="27"/>
        </w:trPr>
        <w:tc>
          <w:tcPr>
            <w:tcW w:w="6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debt (total debt less 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38,318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36,270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38,946</w:t>
            </w: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Total equity</w:t>
            </w:r>
          </w:p>
        </w:tc>
        <w:tc>
          <w:tcPr>
            <w:tcW w:w="220" w:type="dxa"/>
            <w:vAlign w:val="bottom"/>
          </w:tcPr>
          <w:p>
            <w:pPr>
              <w:spacing w:after="0"/>
              <w:rPr>
                <w:sz w:val="21"/>
                <w:szCs w:val="21"/>
                <w:color w:val="auto"/>
              </w:rPr>
            </w:pP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41,935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44,231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41,946</w:t>
            </w:r>
          </w:p>
        </w:tc>
      </w:tr>
      <w:tr>
        <w:trPr>
          <w:trHeight w:val="27"/>
        </w:trPr>
        <w:tc>
          <w:tcPr>
            <w:tcW w:w="6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capitalization (total debt plus total equity)</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88,254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87,879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87,132</w:t>
            </w: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Net capitalization (total debt plus total equity less cash and cash equivalents)</w:t>
            </w:r>
          </w:p>
        </w:tc>
        <w:tc>
          <w:tcPr>
            <w:tcW w:w="220" w:type="dxa"/>
            <w:vAlign w:val="bottom"/>
          </w:tcPr>
          <w:p>
            <w:pPr>
              <w:spacing w:after="0"/>
              <w:rPr>
                <w:sz w:val="21"/>
                <w:szCs w:val="21"/>
                <w:color w:val="auto"/>
              </w:rPr>
            </w:pP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80,253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80,501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80,892</w:t>
            </w:r>
          </w:p>
        </w:tc>
      </w:tr>
      <w:tr>
        <w:trPr>
          <w:trHeight w:val="405"/>
        </w:trPr>
        <w:tc>
          <w:tcPr>
            <w:tcW w:w="6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 to total capitalization</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Net debt to net capitalization</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Financial Condition as of March 31, 2020</w:t>
      </w:r>
    </w:p>
    <w:p>
      <w:pPr>
        <w:spacing w:after="0" w:line="108" w:lineRule="exact"/>
        <w:rPr>
          <w:sz w:val="20"/>
          <w:szCs w:val="20"/>
          <w:color w:val="auto"/>
        </w:rPr>
      </w:pPr>
    </w:p>
    <w:p>
      <w:pPr>
        <w:ind w:right="20" w:firstLine="567"/>
        <w:spacing w:after="0" w:line="273" w:lineRule="auto"/>
        <w:rPr>
          <w:sz w:val="20"/>
          <w:szCs w:val="20"/>
          <w:color w:val="auto"/>
        </w:rPr>
      </w:pPr>
      <w:r>
        <w:rPr>
          <w:rFonts w:ascii="Arial" w:cs="Arial" w:eastAsia="Arial" w:hAnsi="Arial"/>
          <w:sz w:val="17"/>
          <w:szCs w:val="17"/>
          <w:color w:val="auto"/>
        </w:rPr>
        <w:t>We assess our liquidity in terms of our ability to generate cash to fund our operating, investing and financing activities. Our principal source of liquidity is operating cash flows. In the first quarter of 2020, our cash flows from operations, net of capital expenditures was $249 million. The March 31, 2020 cash flows from operations reflect cash payments associated with the Company's portfolio separation costs of approximately $730 million. In addition to operating cash flows, other significant factors that affect our overall management of liquidity include: capital expenditures, customer financing requirements, investments in businesses, dividends, common stock repurchases, pension funding, access to the commercial paper markets, adequacy of available bank lines of credit, redemptions of debt, and the ability to attract long-term capital at satisfactory terms.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4" w:name="page45"/>
    <w:bookmarkEnd w:id="44"/>
    <w:p>
      <w:pPr>
        <w:ind w:right="80" w:firstLine="567"/>
        <w:spacing w:after="0" w:line="255" w:lineRule="auto"/>
        <w:rPr>
          <w:sz w:val="20"/>
          <w:szCs w:val="20"/>
          <w:color w:val="auto"/>
        </w:rPr>
      </w:pPr>
      <w:r>
        <w:rPr>
          <w:rFonts w:ascii="Arial" w:cs="Arial" w:eastAsia="Arial" w:hAnsi="Arial"/>
          <w:sz w:val="18"/>
          <w:szCs w:val="18"/>
          <w:color w:val="auto"/>
        </w:rPr>
        <w:t>At March 31, 2020, we had cash and cash equivalents of $8.0 billion, of which approximately 43% was held by foreign subsidiaries. We manage our worldwide cash requirements by reviewing available funds among the many subsidiaries through which we conduct our business and the cost effectiveness with which those funds can be accessed. The Company no longer intends to reinvest certain undistributed earnings of its international subsidiaries that have been previously taxed in the U.S. For the remainder of the Company’s undistributed international earnings, unless tax effective to repatriate, we will continue to permanently reinvest these earnings. We have repatriated approximately $1.3 billion of cash for the quarter ended March 31, 2020.</w:t>
      </w:r>
    </w:p>
    <w:p>
      <w:pPr>
        <w:spacing w:after="0" w:line="84" w:lineRule="exact"/>
        <w:rPr>
          <w:sz w:val="20"/>
          <w:szCs w:val="20"/>
          <w:color w:val="auto"/>
        </w:rPr>
      </w:pPr>
    </w:p>
    <w:p>
      <w:pPr>
        <w:ind w:firstLine="567"/>
        <w:spacing w:after="0" w:line="263" w:lineRule="auto"/>
        <w:rPr>
          <w:sz w:val="20"/>
          <w:szCs w:val="20"/>
          <w:color w:val="auto"/>
        </w:rPr>
      </w:pPr>
      <w:r>
        <w:rPr>
          <w:rFonts w:ascii="Arial" w:cs="Arial" w:eastAsia="Arial" w:hAnsi="Arial"/>
          <w:sz w:val="18"/>
          <w:szCs w:val="18"/>
          <w:color w:val="auto"/>
        </w:rPr>
        <w:t>On occasion, we are required to maintain cash deposits with certain banks with respect to contractual obligations related to acquisitions, divestitures or other legal obligations. As of March 31, 2020 and December 31, 2019, the amount of such restricted cash was approximately $65 million and $42 million, respectively.</w:t>
      </w:r>
    </w:p>
    <w:p>
      <w:pPr>
        <w:spacing w:after="0" w:line="76" w:lineRule="exact"/>
        <w:rPr>
          <w:sz w:val="20"/>
          <w:szCs w:val="20"/>
          <w:color w:val="auto"/>
        </w:rPr>
      </w:pPr>
    </w:p>
    <w:p>
      <w:pPr>
        <w:jc w:val="both"/>
        <w:ind w:right="100" w:firstLine="567"/>
        <w:spacing w:after="0" w:line="301" w:lineRule="auto"/>
        <w:rPr>
          <w:sz w:val="20"/>
          <w:szCs w:val="20"/>
          <w:color w:val="auto"/>
        </w:rPr>
      </w:pPr>
      <w:r>
        <w:rPr>
          <w:rFonts w:ascii="Arial" w:cs="Arial" w:eastAsia="Arial" w:hAnsi="Arial"/>
          <w:sz w:val="16"/>
          <w:szCs w:val="16"/>
          <w:color w:val="auto"/>
        </w:rPr>
        <w:t>Historically, our strong credit ratings and financial position have enabled us to issue long-term debt at favorable interest rates. Our ability to obtain debt financing is partly a function of our existing debt-to-total-capitalization level as well as our credit standing. Our debt-to-total-capitalization of 52% at March 31, 2020 is up 200 basis points from December 31, 2019 and flat compared to March 31, 2019. As of March 31, 2020, these ratios are inclusive of Otis and Carrier cash and debt balances which have been distributed on April 3, 2020 and exclude cash and debt balances of Raytheon Company.</w:t>
      </w:r>
    </w:p>
    <w:p>
      <w:pPr>
        <w:spacing w:after="0" w:line="49" w:lineRule="exact"/>
        <w:rPr>
          <w:sz w:val="20"/>
          <w:szCs w:val="20"/>
          <w:color w:val="auto"/>
        </w:rPr>
      </w:pPr>
    </w:p>
    <w:p>
      <w:pPr>
        <w:ind w:right="400" w:firstLine="445"/>
        <w:spacing w:after="0" w:line="261" w:lineRule="auto"/>
        <w:rPr>
          <w:sz w:val="20"/>
          <w:szCs w:val="20"/>
          <w:color w:val="auto"/>
        </w:rPr>
      </w:pPr>
      <w:r>
        <w:rPr>
          <w:rFonts w:ascii="Arial" w:cs="Arial" w:eastAsia="Arial" w:hAnsi="Arial"/>
          <w:sz w:val="18"/>
          <w:szCs w:val="18"/>
          <w:color w:val="auto"/>
        </w:rPr>
        <w:t>In preparation for and in anticipation of the Separation Transactions, the Distributions and the Raytheon Merger, the Company, Otis and Carrier, entered into, and the Company terminated, a number of credit agreements in the quarter ended March 31, 2020.</w:t>
      </w:r>
    </w:p>
    <w:p>
      <w:pPr>
        <w:spacing w:after="0" w:line="63" w:lineRule="exact"/>
        <w:rPr>
          <w:sz w:val="20"/>
          <w:szCs w:val="20"/>
          <w:color w:val="auto"/>
        </w:rPr>
      </w:pPr>
    </w:p>
    <w:p>
      <w:pPr>
        <w:ind w:right="60" w:firstLine="445"/>
        <w:spacing w:after="0" w:line="284" w:lineRule="auto"/>
        <w:rPr>
          <w:sz w:val="20"/>
          <w:szCs w:val="20"/>
          <w:color w:val="auto"/>
        </w:rPr>
      </w:pPr>
      <w:r>
        <w:rPr>
          <w:rFonts w:ascii="Arial" w:cs="Arial" w:eastAsia="Arial" w:hAnsi="Arial"/>
          <w:sz w:val="16"/>
          <w:szCs w:val="16"/>
          <w:color w:val="auto"/>
        </w:rPr>
        <w:t>As of March 31, 2020, we had credit agreements with various banks permitting aggregate borrowings of up to $4.35 billion, including: a $2.20 billion revolving credit agreement and a $2.15 billion multicurrency revolving credit agreement, both of which were terminated on April 3, 2020 upon the completion of the Raytheon Merger. On March 16, 2020, we entered into a revolving credit agreement with various banks permitting aggregate borrowings of up to $5.0 billion which became available upon completion of the Raytheon Merger on April 3, 2020. This credit agreement matures on April 3, 2025.</w:t>
      </w:r>
    </w:p>
    <w:p>
      <w:pPr>
        <w:spacing w:after="0" w:line="47" w:lineRule="exact"/>
        <w:rPr>
          <w:sz w:val="20"/>
          <w:szCs w:val="20"/>
          <w:color w:val="auto"/>
        </w:rPr>
      </w:pPr>
    </w:p>
    <w:p>
      <w:pPr>
        <w:ind w:right="80" w:firstLine="445"/>
        <w:spacing w:after="0" w:line="301" w:lineRule="auto"/>
        <w:rPr>
          <w:sz w:val="20"/>
          <w:szCs w:val="20"/>
          <w:color w:val="auto"/>
        </w:rPr>
      </w:pPr>
      <w:r>
        <w:rPr>
          <w:rFonts w:ascii="Arial" w:cs="Arial" w:eastAsia="Arial" w:hAnsi="Arial"/>
          <w:sz w:val="16"/>
          <w:szCs w:val="16"/>
          <w:color w:val="auto"/>
        </w:rPr>
        <w:t>As of March 31, 2020, our maximum commercial paper borrowing limit was $4.35 billion. There was $500 million of commercial paper borrowings as of March 31, 2020. We use our commercial paper borrowings for general corporate purposes, including the funding of potential acquisitions, pension contributions, debt refinancing, dividend payments and repurchases of our common stock. Generally, the need for commercial paper borrowings arises when the use of domestic cash for general corporate purposes exceeds the sum of domestic cash generation and foreign cash repatriated to the U.S.</w:t>
      </w:r>
    </w:p>
    <w:p>
      <w:pPr>
        <w:spacing w:after="0" w:line="49" w:lineRule="exact"/>
        <w:rPr>
          <w:sz w:val="20"/>
          <w:szCs w:val="20"/>
          <w:color w:val="auto"/>
        </w:rPr>
      </w:pPr>
    </w:p>
    <w:p>
      <w:pPr>
        <w:jc w:val="both"/>
        <w:ind w:right="80" w:firstLine="445"/>
        <w:spacing w:after="0" w:line="248" w:lineRule="auto"/>
        <w:rPr>
          <w:sz w:val="20"/>
          <w:szCs w:val="20"/>
          <w:color w:val="auto"/>
        </w:rPr>
      </w:pPr>
      <w:r>
        <w:rPr>
          <w:rFonts w:ascii="Arial" w:cs="Arial" w:eastAsia="Arial" w:hAnsi="Arial"/>
          <w:sz w:val="18"/>
          <w:szCs w:val="18"/>
          <w:color w:val="auto"/>
        </w:rPr>
        <w:t>On March 23, 2020, we entered into a $500 million term loan credit agreement which matures on the earlier of June 18, 2020 and the date that is 30 days after the Raytheon Merger. On March 20, 2020, we entered into a $500 million term loan credit agreement which will mature on June 18, 2020. As of March 31, 2020, we had borrowed $1.0 billion under these term loan credit agreements.</w:t>
      </w:r>
    </w:p>
    <w:p>
      <w:pPr>
        <w:spacing w:after="0" w:line="74" w:lineRule="exact"/>
        <w:rPr>
          <w:sz w:val="20"/>
          <w:szCs w:val="20"/>
          <w:color w:val="auto"/>
        </w:rPr>
      </w:pPr>
    </w:p>
    <w:p>
      <w:pPr>
        <w:ind w:right="60" w:firstLine="445"/>
        <w:spacing w:after="0" w:line="248" w:lineRule="auto"/>
        <w:rPr>
          <w:sz w:val="20"/>
          <w:szCs w:val="20"/>
          <w:color w:val="auto"/>
        </w:rPr>
      </w:pPr>
      <w:r>
        <w:rPr>
          <w:rFonts w:ascii="Arial" w:cs="Arial" w:eastAsia="Arial" w:hAnsi="Arial"/>
          <w:sz w:val="18"/>
          <w:szCs w:val="18"/>
          <w:color w:val="auto"/>
        </w:rPr>
        <w:t>As of March 31, 2020, Carrier entered into a revolving credit agreement with various banks permitting aggregate borrowings of up to $2.0 billion pursuant to an unsecured, unsubordinated 5-year revolving credit agreement, maturing on February 10, 2025. This credit agreement became available upon Carrier's separation on April 3, 2020.</w:t>
      </w:r>
    </w:p>
    <w:p>
      <w:pPr>
        <w:spacing w:after="0" w:line="47" w:lineRule="exact"/>
        <w:rPr>
          <w:sz w:val="20"/>
          <w:szCs w:val="20"/>
          <w:color w:val="auto"/>
        </w:rPr>
      </w:pPr>
    </w:p>
    <w:p>
      <w:pPr>
        <w:ind w:right="60" w:firstLine="445"/>
        <w:spacing w:after="0" w:line="214" w:lineRule="auto"/>
        <w:rPr>
          <w:sz w:val="20"/>
          <w:szCs w:val="20"/>
          <w:color w:val="auto"/>
        </w:rPr>
      </w:pPr>
      <w:r>
        <w:rPr>
          <w:rFonts w:ascii="Arial" w:cs="Arial" w:eastAsia="Arial" w:hAnsi="Arial"/>
          <w:sz w:val="18"/>
          <w:szCs w:val="18"/>
          <w:color w:val="auto"/>
        </w:rPr>
        <w:t>As of March 31, 2020, Otis entered into a revolving credit agreement with various banks permitting aggregate borrowings of up to $1.5 billion pursuant to an unsecured, unsubordinated 5-year revolving credit agreement, maturing on February 10, 2025. This credit agreement became available upon Otis' separation on April 3, 2020.</w:t>
      </w:r>
    </w:p>
    <w:p>
      <w:pPr>
        <w:spacing w:after="0" w:line="202"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On February 10, 2020, Otis entered into a term loan credit agreement providing for a $1.0 billion unsecured, unsubordinated 3-year loan credit agreement which matures on February 10, 2023. On March 27, 2020 Otis drew on the full amount of the term loan and distributed the full proceeds to Raytheon Technologies in connection with the separation. The borrowings under the term loan agreement are classified as long-term debt on the Condensed Consolidated Balance Sheet as of March 31, 2020.</w:t>
      </w:r>
    </w:p>
    <w:p>
      <w:pPr>
        <w:spacing w:after="0" w:line="79" w:lineRule="exact"/>
        <w:rPr>
          <w:sz w:val="20"/>
          <w:szCs w:val="20"/>
          <w:color w:val="auto"/>
        </w:rPr>
      </w:pPr>
    </w:p>
    <w:p>
      <w:pPr>
        <w:ind w:right="100" w:firstLine="445"/>
        <w:spacing w:after="0" w:line="259" w:lineRule="auto"/>
        <w:rPr>
          <w:sz w:val="20"/>
          <w:szCs w:val="20"/>
          <w:color w:val="auto"/>
        </w:rPr>
      </w:pPr>
      <w:r>
        <w:rPr>
          <w:rFonts w:ascii="Arial" w:cs="Arial" w:eastAsia="Arial" w:hAnsi="Arial"/>
          <w:sz w:val="18"/>
          <w:szCs w:val="18"/>
          <w:color w:val="auto"/>
        </w:rPr>
        <w:t>On February 10, 2020, Carrier entered into a term loan credit agreement providing for a $1.75 billion unsecured, unsubordinated 3-year loan credit agreement which matures February 10, 2023. On March 27, 2020, Carrier drew on the full amount of the term loan and distributed the full proceeds to Raytheon Technologies in connection with the separation. The borrowings under the term loan agreement is classified as long-term debt on the Condensed Consolidated Balance Sheet as of March 31, 2020.</w:t>
      </w:r>
    </w:p>
    <w:p>
      <w:pPr>
        <w:spacing w:after="0" w:line="79"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During the quarter ended March 31, 2020, we had a $2.0 billion revolving credit agreement and a $4.0 billion term loan credit agreement, both of which we entered into on March 15, 2019 and which would have matured on March 15, 2021, or if earlier, the date that is 180 days after the date on which each of the separations of Otis and Carrier have been consummated. As of December 31, 2019, there were borrowings of $2.1 billion under the $4.0 billion term credit agreement, which were repaid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5" w:name="page46"/>
    <w:bookmarkEnd w:id="45"/>
    <w:p>
      <w:pPr>
        <w:ind w:right="20"/>
        <w:spacing w:after="0" w:line="277" w:lineRule="auto"/>
        <w:rPr>
          <w:sz w:val="20"/>
          <w:szCs w:val="20"/>
          <w:color w:val="auto"/>
        </w:rPr>
      </w:pPr>
      <w:r>
        <w:rPr>
          <w:rFonts w:ascii="Arial" w:cs="Arial" w:eastAsia="Arial" w:hAnsi="Arial"/>
          <w:sz w:val="18"/>
          <w:szCs w:val="18"/>
          <w:color w:val="auto"/>
        </w:rPr>
        <w:t>during the quarter ended March 31, 2020. As of March 31, 2020, the $2.0 billion revolving credit agreement and the $4.0 billion term loan credit agreement were terminated.</w:t>
      </w:r>
    </w:p>
    <w:p>
      <w:pPr>
        <w:sectPr>
          <w:pgSz w:w="11900" w:h="16838" w:orient="portrait"/>
          <w:cols w:equalWidth="0" w:num="1">
            <w:col w:w="11240"/>
          </w:cols>
          <w:pgMar w:left="320" w:top="1016" w:right="339" w:bottom="1440" w:gutter="0" w:footer="0" w:header="0"/>
        </w:sectPr>
      </w:pP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797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4.875% notes due 2020</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4.500% notes due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1.900% notes due 2020</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EURIBOR plus 0.20% floating rate notes due 2020 (€750 million principal value) </w:t>
      </w:r>
      <w:r>
        <w:rPr>
          <w:rFonts w:ascii="Arial" w:cs="Arial" w:eastAsia="Arial" w:hAnsi="Arial"/>
          <w:sz w:val="20"/>
          <w:szCs w:val="20"/>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8.750% notes due 2021</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3.100% notes due 2021 </w:t>
      </w:r>
      <w:r>
        <w:rPr>
          <w:rFonts w:ascii="Arial" w:cs="Arial" w:eastAsia="Arial" w:hAnsi="Arial"/>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3.350% notes due 2021</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LIBOR plus 0.650% floating rate notes due 2021 </w:t>
      </w:r>
      <w:r>
        <w:rPr>
          <w:rFonts w:ascii="Arial" w:cs="Arial" w:eastAsia="Arial" w:hAnsi="Arial"/>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1.950% notes due 2021</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1.125% notes due 2021 (€950 million principal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2.300% notes due 2022</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2.800% notes due 2022 </w:t>
      </w:r>
      <w:r>
        <w:rPr>
          <w:rFonts w:ascii="Arial" w:cs="Arial" w:eastAsia="Arial" w:hAnsi="Arial"/>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3.100% notes due 2022</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1.923% notes due 2023 </w:t>
      </w:r>
      <w:r>
        <w:rPr>
          <w:rFonts w:ascii="Arial" w:cs="Arial" w:eastAsia="Arial" w:hAnsi="Arial"/>
          <w:sz w:val="23"/>
          <w:szCs w:val="23"/>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line="227" w:lineRule="auto"/>
        <w:rPr>
          <w:sz w:val="20"/>
          <w:szCs w:val="20"/>
          <w:color w:val="auto"/>
        </w:rPr>
      </w:pPr>
      <w:r>
        <w:rPr>
          <w:rFonts w:ascii="Arial" w:cs="Arial" w:eastAsia="Arial" w:hAnsi="Arial"/>
          <w:sz w:val="18"/>
          <w:szCs w:val="18"/>
          <w:color w:val="auto"/>
        </w:rPr>
        <w:t xml:space="preserve">LIBOR plus 1.125% Term Loan due 2023 (Otis) </w:t>
      </w:r>
      <w:r>
        <w:rPr>
          <w:rFonts w:ascii="Arial" w:cs="Arial" w:eastAsia="Arial" w:hAnsi="Arial"/>
          <w:sz w:val="23"/>
          <w:szCs w:val="23"/>
          <w:color w:val="auto"/>
          <w:vertAlign w:val="superscript"/>
        </w:rPr>
        <w:t>6</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LIBOR plus 0.45% floating rates due 2023 </w:t>
      </w:r>
      <w:r>
        <w:rPr>
          <w:rFonts w:ascii="Arial" w:cs="Arial" w:eastAsia="Arial" w:hAnsi="Arial"/>
          <w:sz w:val="23"/>
          <w:szCs w:val="23"/>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1.250% notes due 2023 (€750 million principal value)</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LIBOR plus 1.125% Term Loan due 2023 (Carrier) </w:t>
      </w:r>
      <w:r>
        <w:rPr>
          <w:rFonts w:ascii="Arial" w:cs="Arial" w:eastAsia="Arial" w:hAnsi="Arial"/>
          <w:sz w:val="23"/>
          <w:szCs w:val="23"/>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3.650% notes due 2023 </w:t>
      </w:r>
      <w:r>
        <w:rPr>
          <w:rFonts w:ascii="Arial" w:cs="Arial" w:eastAsia="Arial" w:hAnsi="Arial"/>
          <w:sz w:val="23"/>
          <w:szCs w:val="23"/>
          <w:color w:val="auto"/>
          <w:vertAlign w:val="superscript"/>
        </w:rPr>
        <w:t>1</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3.700% notes due 2023 </w:t>
      </w:r>
      <w:r>
        <w:rPr>
          <w:rFonts w:ascii="Arial" w:cs="Arial" w:eastAsia="Arial" w:hAnsi="Arial"/>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2.800% notes due 2024</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3.200% notes due 2024 </w:t>
      </w:r>
      <w:r>
        <w:rPr>
          <w:rFonts w:ascii="Arial" w:cs="Arial" w:eastAsia="Arial" w:hAnsi="Arial"/>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1.150% notes due 2024 (€750 million principal value)</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2.056% notes due 2025 </w:t>
      </w:r>
      <w:r>
        <w:rPr>
          <w:rFonts w:ascii="Arial" w:cs="Arial" w:eastAsia="Arial" w:hAnsi="Arial"/>
          <w:sz w:val="23"/>
          <w:szCs w:val="23"/>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2.242% notes due 2025 </w:t>
      </w:r>
      <w:r>
        <w:rPr>
          <w:rFonts w:ascii="Arial" w:cs="Arial" w:eastAsia="Arial" w:hAnsi="Arial"/>
          <w:sz w:val="23"/>
          <w:szCs w:val="23"/>
          <w:color w:val="auto"/>
          <w:vertAlign w:val="superscript"/>
        </w:rPr>
        <w:t>6</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3.950% notes due 2025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1.875% notes due 2026 (€500 million principal value)</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2.650% notes due 2026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2.293% notes due 2027 </w:t>
      </w:r>
      <w:r>
        <w:rPr>
          <w:rFonts w:ascii="Arial" w:cs="Arial" w:eastAsia="Arial" w:hAnsi="Arial"/>
          <w:sz w:val="23"/>
          <w:szCs w:val="23"/>
          <w:color w:val="auto"/>
          <w:vertAlign w:val="superscript"/>
        </w:rPr>
        <w:t>6</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2.493% notes due 2027 </w:t>
      </w:r>
      <w:r>
        <w:rPr>
          <w:rFonts w:ascii="Arial" w:cs="Arial" w:eastAsia="Arial" w:hAnsi="Arial"/>
          <w:sz w:val="23"/>
          <w:szCs w:val="23"/>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 xml:space="preserve">3.125% notes due 2027 </w:t>
      </w:r>
      <w:r>
        <w:rPr>
          <w:rFonts w:ascii="Arial" w:cs="Arial" w:eastAsia="Arial" w:hAnsi="Arial"/>
          <w:sz w:val="23"/>
          <w:szCs w:val="23"/>
          <w:color w:val="auto"/>
          <w:vertAlign w:val="superscript"/>
        </w:rPr>
        <w:t>1</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3.500% notes due 2027 </w:t>
      </w:r>
      <w:r>
        <w:rPr>
          <w:rFonts w:ascii="Arial" w:cs="Arial" w:eastAsia="Arial" w:hAnsi="Arial"/>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7.100% notes due 2027</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6.700% notes due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4.125% notes due 2028 </w:t>
      </w:r>
      <w:r>
        <w:rPr>
          <w:rFonts w:ascii="Arial" w:cs="Arial" w:eastAsia="Arial" w:hAnsi="Arial"/>
          <w:sz w:val="23"/>
          <w:szCs w:val="23"/>
          <w:color w:val="auto"/>
          <w:vertAlign w:val="superscript"/>
        </w:rPr>
        <w:t>1</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7.500% notes due 2029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 xml:space="preserve">2.150% notes due 2030 (€500 million principal value) </w:t>
      </w:r>
      <w:r>
        <w:rPr>
          <w:rFonts w:ascii="Arial" w:cs="Arial" w:eastAsia="Arial" w:hAnsi="Arial"/>
          <w:sz w:val="23"/>
          <w:szCs w:val="23"/>
          <w:color w:val="auto"/>
          <w:vertAlign w:val="superscript"/>
        </w:rPr>
        <w:t>1</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2.565% notes due 2030 </w:t>
      </w:r>
      <w:r>
        <w:rPr>
          <w:rFonts w:ascii="Arial" w:cs="Arial" w:eastAsia="Arial" w:hAnsi="Arial"/>
          <w:sz w:val="23"/>
          <w:szCs w:val="23"/>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 xml:space="preserve">2.722% notes due 2030 </w:t>
      </w:r>
      <w:r>
        <w:rPr>
          <w:rFonts w:ascii="Arial" w:cs="Arial" w:eastAsia="Arial" w:hAnsi="Arial"/>
          <w:sz w:val="23"/>
          <w:szCs w:val="23"/>
          <w:color w:val="auto"/>
          <w:vertAlign w:val="superscript"/>
        </w:rPr>
        <w:t>6</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5.400% notes due 2035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 xml:space="preserve">6.050% notes due 2036 </w:t>
      </w:r>
      <w:r>
        <w:rPr>
          <w:rFonts w:ascii="Arial" w:cs="Arial" w:eastAsia="Arial" w:hAnsi="Arial"/>
          <w:sz w:val="23"/>
          <w:szCs w:val="23"/>
          <w:color w:val="auto"/>
          <w:vertAlign w:val="superscript"/>
        </w:rPr>
        <w:t>1</w:t>
      </w:r>
    </w:p>
    <w:p>
      <w:pPr>
        <w:ind w:left="20"/>
        <w:spacing w:after="0" w:line="213" w:lineRule="auto"/>
        <w:rPr>
          <w:sz w:val="20"/>
          <w:szCs w:val="20"/>
          <w:color w:val="auto"/>
        </w:rPr>
      </w:pPr>
      <w:r>
        <w:rPr>
          <w:rFonts w:ascii="Arial" w:cs="Arial" w:eastAsia="Arial" w:hAnsi="Arial"/>
          <w:sz w:val="18"/>
          <w:szCs w:val="18"/>
          <w:color w:val="auto"/>
        </w:rPr>
        <w:t xml:space="preserve">6.800% notes due 2036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7.000% notes due 2038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w w:val="96"/>
              </w:rPr>
              <w:t>December 31, 2019</w:t>
            </w:r>
          </w:p>
        </w:tc>
      </w:tr>
      <w:tr>
        <w:trPr>
          <w:trHeight w:val="243"/>
        </w:trPr>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171</w:t>
            </w:r>
          </w:p>
        </w:tc>
      </w:tr>
      <w:tr>
        <w:trPr>
          <w:trHeight w:val="270"/>
        </w:trPr>
        <w:tc>
          <w:tcPr>
            <w:tcW w:w="220" w:type="dxa"/>
            <w:vAlign w:val="bottom"/>
          </w:tcPr>
          <w:p>
            <w:pPr>
              <w:spacing w:after="0"/>
              <w:rPr>
                <w:sz w:val="23"/>
                <w:szCs w:val="23"/>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1,250</w:t>
            </w:r>
          </w:p>
        </w:tc>
      </w:tr>
      <w:tr>
        <w:trPr>
          <w:trHeight w:val="270"/>
        </w:trPr>
        <w:tc>
          <w:tcPr>
            <w:tcW w:w="220" w:type="dxa"/>
            <w:vAlign w:val="bottom"/>
          </w:tcPr>
          <w:p>
            <w:pPr>
              <w:spacing w:after="0"/>
              <w:rPr>
                <w:sz w:val="23"/>
                <w:szCs w:val="23"/>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1,000</w:t>
            </w:r>
          </w:p>
        </w:tc>
      </w:tr>
      <w:tr>
        <w:trPr>
          <w:trHeight w:val="270"/>
        </w:trPr>
        <w:tc>
          <w:tcPr>
            <w:tcW w:w="220" w:type="dxa"/>
            <w:vAlign w:val="bottom"/>
          </w:tcPr>
          <w:p>
            <w:pPr>
              <w:spacing w:after="0"/>
              <w:rPr>
                <w:sz w:val="23"/>
                <w:szCs w:val="23"/>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831</w:t>
            </w:r>
          </w:p>
        </w:tc>
      </w:tr>
      <w:tr>
        <w:trPr>
          <w:trHeight w:val="270"/>
        </w:trPr>
        <w:tc>
          <w:tcPr>
            <w:tcW w:w="220" w:type="dxa"/>
            <w:vAlign w:val="bottom"/>
          </w:tcPr>
          <w:p>
            <w:pPr>
              <w:spacing w:after="0"/>
              <w:rPr>
                <w:sz w:val="23"/>
                <w:szCs w:val="23"/>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250</w:t>
            </w:r>
          </w:p>
        </w:tc>
      </w:tr>
      <w:tr>
        <w:trPr>
          <w:trHeight w:val="270"/>
        </w:trPr>
        <w:tc>
          <w:tcPr>
            <w:tcW w:w="220" w:type="dxa"/>
            <w:vAlign w:val="bottom"/>
          </w:tcPr>
          <w:p>
            <w:pPr>
              <w:spacing w:after="0"/>
              <w:rPr>
                <w:sz w:val="23"/>
                <w:szCs w:val="23"/>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250</w:t>
            </w:r>
          </w:p>
        </w:tc>
      </w:tr>
      <w:tr>
        <w:trPr>
          <w:trHeight w:val="270"/>
        </w:trPr>
        <w:tc>
          <w:tcPr>
            <w:tcW w:w="220" w:type="dxa"/>
            <w:vAlign w:val="bottom"/>
          </w:tcPr>
          <w:p>
            <w:pPr>
              <w:spacing w:after="0"/>
              <w:rPr>
                <w:sz w:val="23"/>
                <w:szCs w:val="23"/>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1,000</w:t>
            </w:r>
          </w:p>
        </w:tc>
      </w:tr>
      <w:tr>
        <w:trPr>
          <w:trHeight w:val="270"/>
        </w:trPr>
        <w:tc>
          <w:tcPr>
            <w:tcW w:w="220" w:type="dxa"/>
            <w:vAlign w:val="bottom"/>
          </w:tcPr>
          <w:p>
            <w:pPr>
              <w:spacing w:after="0"/>
              <w:rPr>
                <w:sz w:val="23"/>
                <w:szCs w:val="23"/>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750</w:t>
            </w:r>
          </w:p>
        </w:tc>
      </w:tr>
      <w:tr>
        <w:trPr>
          <w:trHeight w:val="270"/>
        </w:trPr>
        <w:tc>
          <w:tcPr>
            <w:tcW w:w="220" w:type="dxa"/>
            <w:vAlign w:val="bottom"/>
          </w:tcPr>
          <w:p>
            <w:pPr>
              <w:spacing w:after="0"/>
              <w:rPr>
                <w:sz w:val="23"/>
                <w:szCs w:val="23"/>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750</w:t>
            </w:r>
          </w:p>
        </w:tc>
      </w:tr>
      <w:tr>
        <w:trPr>
          <w:trHeight w:val="270"/>
        </w:trPr>
        <w:tc>
          <w:tcPr>
            <w:tcW w:w="220" w:type="dxa"/>
            <w:vAlign w:val="bottom"/>
          </w:tcPr>
          <w:p>
            <w:pPr>
              <w:spacing w:after="0"/>
              <w:rPr>
                <w:sz w:val="23"/>
                <w:szCs w:val="23"/>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1,053</w:t>
            </w:r>
          </w:p>
        </w:tc>
      </w:tr>
      <w:tr>
        <w:trPr>
          <w:trHeight w:val="270"/>
        </w:trPr>
        <w:tc>
          <w:tcPr>
            <w:tcW w:w="220" w:type="dxa"/>
            <w:vAlign w:val="bottom"/>
          </w:tcPr>
          <w:p>
            <w:pPr>
              <w:spacing w:after="0"/>
              <w:rPr>
                <w:sz w:val="23"/>
                <w:szCs w:val="23"/>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500</w:t>
            </w:r>
          </w:p>
        </w:tc>
      </w:tr>
      <w:tr>
        <w:trPr>
          <w:trHeight w:val="270"/>
        </w:trPr>
        <w:tc>
          <w:tcPr>
            <w:tcW w:w="220" w:type="dxa"/>
            <w:vAlign w:val="bottom"/>
          </w:tcPr>
          <w:p>
            <w:pPr>
              <w:spacing w:after="0"/>
              <w:rPr>
                <w:sz w:val="23"/>
                <w:szCs w:val="23"/>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1,100</w:t>
            </w:r>
          </w:p>
        </w:tc>
      </w:tr>
      <w:tr>
        <w:trPr>
          <w:trHeight w:val="270"/>
        </w:trPr>
        <w:tc>
          <w:tcPr>
            <w:tcW w:w="220" w:type="dxa"/>
            <w:vAlign w:val="bottom"/>
          </w:tcPr>
          <w:p>
            <w:pPr>
              <w:spacing w:after="0"/>
              <w:rPr>
                <w:sz w:val="23"/>
                <w:szCs w:val="23"/>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2,300</w:t>
            </w:r>
          </w:p>
        </w:tc>
      </w:tr>
      <w:tr>
        <w:trPr>
          <w:trHeight w:val="270"/>
        </w:trPr>
        <w:tc>
          <w:tcPr>
            <w:tcW w:w="220" w:type="dxa"/>
            <w:vAlign w:val="bottom"/>
          </w:tcPr>
          <w:p>
            <w:pPr>
              <w:spacing w:after="0"/>
              <w:rPr>
                <w:sz w:val="23"/>
                <w:szCs w:val="23"/>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220" w:type="dxa"/>
            <w:vAlign w:val="bottom"/>
          </w:tcPr>
          <w:p>
            <w:pPr>
              <w:spacing w:after="0"/>
              <w:rPr>
                <w:sz w:val="23"/>
                <w:szCs w:val="23"/>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220" w:type="dxa"/>
            <w:vAlign w:val="bottom"/>
          </w:tcPr>
          <w:p>
            <w:pPr>
              <w:spacing w:after="0"/>
              <w:rPr>
                <w:sz w:val="23"/>
                <w:szCs w:val="23"/>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220" w:type="dxa"/>
            <w:vAlign w:val="bottom"/>
          </w:tcPr>
          <w:p>
            <w:pPr>
              <w:spacing w:after="0"/>
              <w:rPr>
                <w:sz w:val="23"/>
                <w:szCs w:val="23"/>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831</w:t>
            </w:r>
          </w:p>
        </w:tc>
      </w:tr>
      <w:tr>
        <w:trPr>
          <w:trHeight w:val="270"/>
        </w:trPr>
        <w:tc>
          <w:tcPr>
            <w:tcW w:w="220" w:type="dxa"/>
            <w:vAlign w:val="bottom"/>
          </w:tcPr>
          <w:p>
            <w:pPr>
              <w:spacing w:after="0"/>
              <w:rPr>
                <w:sz w:val="23"/>
                <w:szCs w:val="23"/>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220" w:type="dxa"/>
            <w:vAlign w:val="bottom"/>
          </w:tcPr>
          <w:p>
            <w:pPr>
              <w:spacing w:after="0"/>
              <w:rPr>
                <w:sz w:val="23"/>
                <w:szCs w:val="23"/>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2,250</w:t>
            </w:r>
          </w:p>
        </w:tc>
      </w:tr>
      <w:tr>
        <w:trPr>
          <w:trHeight w:val="270"/>
        </w:trPr>
        <w:tc>
          <w:tcPr>
            <w:tcW w:w="220" w:type="dxa"/>
            <w:vAlign w:val="bottom"/>
          </w:tcPr>
          <w:p>
            <w:pPr>
              <w:spacing w:after="0"/>
              <w:rPr>
                <w:sz w:val="23"/>
                <w:szCs w:val="23"/>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400</w:t>
            </w:r>
          </w:p>
        </w:tc>
      </w:tr>
      <w:tr>
        <w:trPr>
          <w:trHeight w:val="270"/>
        </w:trPr>
        <w:tc>
          <w:tcPr>
            <w:tcW w:w="220" w:type="dxa"/>
            <w:vAlign w:val="bottom"/>
          </w:tcPr>
          <w:p>
            <w:pPr>
              <w:spacing w:after="0"/>
              <w:rPr>
                <w:sz w:val="23"/>
                <w:szCs w:val="23"/>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800</w:t>
            </w:r>
          </w:p>
        </w:tc>
      </w:tr>
      <w:tr>
        <w:trPr>
          <w:trHeight w:val="270"/>
        </w:trPr>
        <w:tc>
          <w:tcPr>
            <w:tcW w:w="220" w:type="dxa"/>
            <w:vAlign w:val="bottom"/>
          </w:tcPr>
          <w:p>
            <w:pPr>
              <w:spacing w:after="0"/>
              <w:rPr>
                <w:sz w:val="23"/>
                <w:szCs w:val="23"/>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950</w:t>
            </w:r>
          </w:p>
        </w:tc>
      </w:tr>
      <w:tr>
        <w:trPr>
          <w:trHeight w:val="270"/>
        </w:trPr>
        <w:tc>
          <w:tcPr>
            <w:tcW w:w="220" w:type="dxa"/>
            <w:vAlign w:val="bottom"/>
          </w:tcPr>
          <w:p>
            <w:pPr>
              <w:spacing w:after="0"/>
              <w:rPr>
                <w:sz w:val="23"/>
                <w:szCs w:val="23"/>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831</w:t>
            </w:r>
          </w:p>
        </w:tc>
      </w:tr>
      <w:tr>
        <w:trPr>
          <w:trHeight w:val="270"/>
        </w:trPr>
        <w:tc>
          <w:tcPr>
            <w:tcW w:w="220" w:type="dxa"/>
            <w:vAlign w:val="bottom"/>
          </w:tcPr>
          <w:p>
            <w:pPr>
              <w:spacing w:after="0"/>
              <w:rPr>
                <w:sz w:val="23"/>
                <w:szCs w:val="23"/>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220" w:type="dxa"/>
            <w:vAlign w:val="bottom"/>
          </w:tcPr>
          <w:p>
            <w:pPr>
              <w:spacing w:after="0"/>
              <w:rPr>
                <w:sz w:val="23"/>
                <w:szCs w:val="23"/>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220" w:type="dxa"/>
            <w:vAlign w:val="bottom"/>
          </w:tcPr>
          <w:p>
            <w:pPr>
              <w:spacing w:after="0"/>
              <w:rPr>
                <w:sz w:val="23"/>
                <w:szCs w:val="23"/>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1,500</w:t>
            </w:r>
          </w:p>
        </w:tc>
      </w:tr>
      <w:tr>
        <w:trPr>
          <w:trHeight w:val="270"/>
        </w:trPr>
        <w:tc>
          <w:tcPr>
            <w:tcW w:w="220" w:type="dxa"/>
            <w:vAlign w:val="bottom"/>
          </w:tcPr>
          <w:p>
            <w:pPr>
              <w:spacing w:after="0"/>
              <w:rPr>
                <w:sz w:val="23"/>
                <w:szCs w:val="23"/>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554</w:t>
            </w:r>
          </w:p>
        </w:tc>
      </w:tr>
      <w:tr>
        <w:trPr>
          <w:trHeight w:val="270"/>
        </w:trPr>
        <w:tc>
          <w:tcPr>
            <w:tcW w:w="220" w:type="dxa"/>
            <w:vAlign w:val="bottom"/>
          </w:tcPr>
          <w:p>
            <w:pPr>
              <w:spacing w:after="0"/>
              <w:rPr>
                <w:sz w:val="23"/>
                <w:szCs w:val="23"/>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1,150</w:t>
            </w:r>
          </w:p>
        </w:tc>
      </w:tr>
      <w:tr>
        <w:trPr>
          <w:trHeight w:val="270"/>
        </w:trPr>
        <w:tc>
          <w:tcPr>
            <w:tcW w:w="220" w:type="dxa"/>
            <w:vAlign w:val="bottom"/>
          </w:tcPr>
          <w:p>
            <w:pPr>
              <w:spacing w:after="0"/>
              <w:rPr>
                <w:sz w:val="23"/>
                <w:szCs w:val="23"/>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220" w:type="dxa"/>
            <w:vAlign w:val="bottom"/>
          </w:tcPr>
          <w:p>
            <w:pPr>
              <w:spacing w:after="0"/>
              <w:rPr>
                <w:sz w:val="23"/>
                <w:szCs w:val="23"/>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220" w:type="dxa"/>
            <w:vAlign w:val="bottom"/>
          </w:tcPr>
          <w:p>
            <w:pPr>
              <w:spacing w:after="0"/>
              <w:rPr>
                <w:sz w:val="23"/>
                <w:szCs w:val="23"/>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1,100</w:t>
            </w:r>
          </w:p>
        </w:tc>
      </w:tr>
      <w:tr>
        <w:trPr>
          <w:trHeight w:val="270"/>
        </w:trPr>
        <w:tc>
          <w:tcPr>
            <w:tcW w:w="220" w:type="dxa"/>
            <w:vAlign w:val="bottom"/>
          </w:tcPr>
          <w:p>
            <w:pPr>
              <w:spacing w:after="0"/>
              <w:rPr>
                <w:sz w:val="23"/>
                <w:szCs w:val="23"/>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1,300</w:t>
            </w:r>
          </w:p>
        </w:tc>
      </w:tr>
      <w:tr>
        <w:trPr>
          <w:trHeight w:val="270"/>
        </w:trPr>
        <w:tc>
          <w:tcPr>
            <w:tcW w:w="220" w:type="dxa"/>
            <w:vAlign w:val="bottom"/>
          </w:tcPr>
          <w:p>
            <w:pPr>
              <w:spacing w:after="0"/>
              <w:rPr>
                <w:sz w:val="23"/>
                <w:szCs w:val="23"/>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141</w:t>
            </w:r>
          </w:p>
        </w:tc>
      </w:tr>
      <w:tr>
        <w:trPr>
          <w:trHeight w:val="270"/>
        </w:trPr>
        <w:tc>
          <w:tcPr>
            <w:tcW w:w="220" w:type="dxa"/>
            <w:vAlign w:val="bottom"/>
          </w:tcPr>
          <w:p>
            <w:pPr>
              <w:spacing w:after="0"/>
              <w:rPr>
                <w:sz w:val="23"/>
                <w:szCs w:val="23"/>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400</w:t>
            </w:r>
          </w:p>
        </w:tc>
      </w:tr>
      <w:tr>
        <w:trPr>
          <w:trHeight w:val="270"/>
        </w:trPr>
        <w:tc>
          <w:tcPr>
            <w:tcW w:w="220" w:type="dxa"/>
            <w:vAlign w:val="bottom"/>
          </w:tcPr>
          <w:p>
            <w:pPr>
              <w:spacing w:after="0"/>
              <w:rPr>
                <w:sz w:val="23"/>
                <w:szCs w:val="23"/>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3,000</w:t>
            </w:r>
          </w:p>
        </w:tc>
      </w:tr>
      <w:tr>
        <w:trPr>
          <w:trHeight w:val="270"/>
        </w:trPr>
        <w:tc>
          <w:tcPr>
            <w:tcW w:w="220" w:type="dxa"/>
            <w:vAlign w:val="bottom"/>
          </w:tcPr>
          <w:p>
            <w:pPr>
              <w:spacing w:after="0"/>
              <w:rPr>
                <w:sz w:val="23"/>
                <w:szCs w:val="23"/>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550</w:t>
            </w:r>
          </w:p>
        </w:tc>
      </w:tr>
      <w:tr>
        <w:trPr>
          <w:trHeight w:val="270"/>
        </w:trPr>
        <w:tc>
          <w:tcPr>
            <w:tcW w:w="220" w:type="dxa"/>
            <w:vAlign w:val="bottom"/>
          </w:tcPr>
          <w:p>
            <w:pPr>
              <w:spacing w:after="0"/>
              <w:rPr>
                <w:sz w:val="23"/>
                <w:szCs w:val="23"/>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554</w:t>
            </w:r>
          </w:p>
        </w:tc>
      </w:tr>
      <w:tr>
        <w:trPr>
          <w:trHeight w:val="270"/>
        </w:trPr>
        <w:tc>
          <w:tcPr>
            <w:tcW w:w="220" w:type="dxa"/>
            <w:vAlign w:val="bottom"/>
          </w:tcPr>
          <w:p>
            <w:pPr>
              <w:spacing w:after="0"/>
              <w:rPr>
                <w:sz w:val="23"/>
                <w:szCs w:val="23"/>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220" w:type="dxa"/>
            <w:vAlign w:val="bottom"/>
          </w:tcPr>
          <w:p>
            <w:pPr>
              <w:spacing w:after="0"/>
              <w:rPr>
                <w:sz w:val="23"/>
                <w:szCs w:val="23"/>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220" w:type="dxa"/>
            <w:vAlign w:val="bottom"/>
          </w:tcPr>
          <w:p>
            <w:pPr>
              <w:spacing w:after="0"/>
              <w:rPr>
                <w:sz w:val="23"/>
                <w:szCs w:val="23"/>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600</w:t>
            </w:r>
          </w:p>
        </w:tc>
      </w:tr>
      <w:tr>
        <w:trPr>
          <w:trHeight w:val="270"/>
        </w:trPr>
        <w:tc>
          <w:tcPr>
            <w:tcW w:w="220" w:type="dxa"/>
            <w:vAlign w:val="bottom"/>
          </w:tcPr>
          <w:p>
            <w:pPr>
              <w:spacing w:after="0"/>
              <w:rPr>
                <w:sz w:val="23"/>
                <w:szCs w:val="23"/>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600</w:t>
            </w:r>
          </w:p>
        </w:tc>
      </w:tr>
      <w:tr>
        <w:trPr>
          <w:trHeight w:val="270"/>
        </w:trPr>
        <w:tc>
          <w:tcPr>
            <w:tcW w:w="220" w:type="dxa"/>
            <w:vAlign w:val="bottom"/>
          </w:tcPr>
          <w:p>
            <w:pPr>
              <w:spacing w:after="0"/>
              <w:rPr>
                <w:sz w:val="23"/>
                <w:szCs w:val="23"/>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134</w:t>
            </w:r>
          </w:p>
        </w:tc>
      </w:tr>
      <w:tr>
        <w:trPr>
          <w:trHeight w:val="270"/>
        </w:trPr>
        <w:tc>
          <w:tcPr>
            <w:tcW w:w="220" w:type="dxa"/>
            <w:vAlign w:val="bottom"/>
          </w:tcPr>
          <w:p>
            <w:pPr>
              <w:spacing w:after="0"/>
              <w:rPr>
                <w:sz w:val="23"/>
                <w:szCs w:val="23"/>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159</w:t>
            </w:r>
          </w:p>
        </w:tc>
      </w:tr>
    </w:tbl>
    <w:p>
      <w:pPr>
        <w:spacing w:after="0" w:line="200" w:lineRule="exact"/>
        <w:rPr>
          <w:sz w:val="20"/>
          <w:szCs w:val="20"/>
          <w:color w:val="auto"/>
        </w:rPr>
      </w:pPr>
    </w:p>
    <w:p>
      <w:pPr>
        <w:sectPr>
          <w:pgSz w:w="11900" w:h="16838" w:orient="portrait"/>
          <w:cols w:equalWidth="0" w:num="2">
            <w:col w:w="7180" w:space="720"/>
            <w:col w:w="3340"/>
          </w:cols>
          <w:pgMar w:left="320" w:top="1016" w:right="339"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264"/>
        </w:trPr>
        <w:tc>
          <w:tcPr>
            <w:tcW w:w="7900" w:type="dxa"/>
            <w:vAlign w:val="bottom"/>
          </w:tcPr>
          <w:p>
            <w:pPr>
              <w:ind w:left="20"/>
              <w:spacing w:after="0"/>
              <w:rPr>
                <w:sz w:val="20"/>
                <w:szCs w:val="20"/>
                <w:color w:val="auto"/>
              </w:rPr>
            </w:pPr>
            <w:r>
              <w:rPr>
                <w:rFonts w:ascii="Arial" w:cs="Arial" w:eastAsia="Arial" w:hAnsi="Arial"/>
                <w:sz w:val="18"/>
                <w:szCs w:val="18"/>
                <w:color w:val="auto"/>
              </w:rPr>
              <w:t xml:space="preserve">6.125% notes due 2038 </w:t>
            </w:r>
            <w:r>
              <w:rPr>
                <w:rFonts w:ascii="Arial" w:cs="Arial" w:eastAsia="Arial" w:hAnsi="Arial"/>
                <w:sz w:val="23"/>
                <w:szCs w:val="23"/>
                <w:color w:val="auto"/>
                <w:vertAlign w:val="superscript"/>
              </w:rPr>
              <w:t>1</w:t>
            </w:r>
          </w:p>
        </w:tc>
        <w:tc>
          <w:tcPr>
            <w:tcW w:w="540" w:type="dxa"/>
            <w:vAlign w:val="bottom"/>
          </w:tcPr>
          <w:p>
            <w:pPr>
              <w:spacing w:after="0"/>
              <w:rPr>
                <w:sz w:val="22"/>
                <w:szCs w:val="22"/>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1,000</w:t>
            </w:r>
          </w:p>
        </w:tc>
      </w:tr>
      <w:tr>
        <w:trPr>
          <w:trHeight w:val="27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4.450% notes due 2038 </w:t>
            </w:r>
            <w:r>
              <w:rPr>
                <w:rFonts w:ascii="Arial" w:cs="Arial" w:eastAsia="Arial" w:hAnsi="Arial"/>
                <w:sz w:val="23"/>
                <w:szCs w:val="23"/>
                <w:color w:val="auto"/>
                <w:vertAlign w:val="superscript"/>
              </w:rPr>
              <w:t>1</w:t>
            </w: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750</w:t>
            </w:r>
          </w:p>
        </w:tc>
      </w:tr>
      <w:tr>
        <w:trPr>
          <w:trHeight w:val="270"/>
        </w:trPr>
        <w:tc>
          <w:tcPr>
            <w:tcW w:w="7900" w:type="dxa"/>
            <w:vAlign w:val="bottom"/>
          </w:tcPr>
          <w:p>
            <w:pPr>
              <w:ind w:left="20"/>
              <w:spacing w:after="0"/>
              <w:rPr>
                <w:sz w:val="20"/>
                <w:szCs w:val="20"/>
                <w:color w:val="auto"/>
              </w:rPr>
            </w:pPr>
            <w:r>
              <w:rPr>
                <w:rFonts w:ascii="Arial" w:cs="Arial" w:eastAsia="Arial" w:hAnsi="Arial"/>
                <w:sz w:val="18"/>
                <w:szCs w:val="18"/>
                <w:color w:val="auto"/>
              </w:rPr>
              <w:t xml:space="preserve">3.112% notes due 2040 </w:t>
            </w:r>
            <w:r>
              <w:rPr>
                <w:rFonts w:ascii="Arial" w:cs="Arial" w:eastAsia="Arial" w:hAnsi="Arial"/>
                <w:sz w:val="23"/>
                <w:szCs w:val="23"/>
                <w:color w:val="auto"/>
                <w:vertAlign w:val="superscript"/>
              </w:rPr>
              <w:t>6</w:t>
            </w:r>
          </w:p>
        </w:tc>
        <w:tc>
          <w:tcPr>
            <w:tcW w:w="5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3.377% notes due 2040 </w:t>
            </w:r>
            <w:r>
              <w:rPr>
                <w:rFonts w:ascii="Arial" w:cs="Arial" w:eastAsia="Arial" w:hAnsi="Arial"/>
                <w:sz w:val="23"/>
                <w:szCs w:val="23"/>
                <w:color w:val="auto"/>
                <w:vertAlign w:val="superscript"/>
              </w:rPr>
              <w:t>6</w:t>
            </w: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7900" w:type="dxa"/>
            <w:vAlign w:val="bottom"/>
          </w:tcPr>
          <w:p>
            <w:pPr>
              <w:ind w:left="20"/>
              <w:spacing w:after="0"/>
              <w:rPr>
                <w:sz w:val="20"/>
                <w:szCs w:val="20"/>
                <w:color w:val="auto"/>
              </w:rPr>
            </w:pPr>
            <w:r>
              <w:rPr>
                <w:rFonts w:ascii="Arial" w:cs="Arial" w:eastAsia="Arial" w:hAnsi="Arial"/>
                <w:sz w:val="18"/>
                <w:szCs w:val="18"/>
                <w:color w:val="auto"/>
              </w:rPr>
              <w:t xml:space="preserve">5.700% notes due 2040 </w:t>
            </w:r>
            <w:r>
              <w:rPr>
                <w:rFonts w:ascii="Arial" w:cs="Arial" w:eastAsia="Arial" w:hAnsi="Arial"/>
                <w:sz w:val="23"/>
                <w:szCs w:val="23"/>
                <w:color w:val="auto"/>
                <w:vertAlign w:val="superscript"/>
              </w:rPr>
              <w:t>1</w:t>
            </w:r>
          </w:p>
        </w:tc>
        <w:tc>
          <w:tcPr>
            <w:tcW w:w="5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1,000</w:t>
            </w:r>
          </w:p>
        </w:tc>
      </w:tr>
      <w:tr>
        <w:trPr>
          <w:trHeight w:val="27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4.500% notes due 2042 </w:t>
            </w:r>
            <w:r>
              <w:rPr>
                <w:rFonts w:ascii="Arial" w:cs="Arial" w:eastAsia="Arial" w:hAnsi="Arial"/>
                <w:sz w:val="23"/>
                <w:szCs w:val="23"/>
                <w:color w:val="auto"/>
                <w:vertAlign w:val="superscript"/>
              </w:rPr>
              <w:t>1</w:t>
            </w: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3,500</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3,500</w:t>
            </w:r>
          </w:p>
        </w:tc>
      </w:tr>
      <w:tr>
        <w:trPr>
          <w:trHeight w:val="270"/>
        </w:trPr>
        <w:tc>
          <w:tcPr>
            <w:tcW w:w="7900" w:type="dxa"/>
            <w:vAlign w:val="bottom"/>
          </w:tcPr>
          <w:p>
            <w:pPr>
              <w:ind w:left="20"/>
              <w:spacing w:after="0"/>
              <w:rPr>
                <w:sz w:val="20"/>
                <w:szCs w:val="20"/>
                <w:color w:val="auto"/>
              </w:rPr>
            </w:pPr>
            <w:r>
              <w:rPr>
                <w:rFonts w:ascii="Arial" w:cs="Arial" w:eastAsia="Arial" w:hAnsi="Arial"/>
                <w:sz w:val="18"/>
                <w:szCs w:val="18"/>
                <w:color w:val="auto"/>
              </w:rPr>
              <w:t xml:space="preserve">4.800% notes due 2043 </w:t>
            </w:r>
            <w:r>
              <w:rPr>
                <w:rFonts w:ascii="Arial" w:cs="Arial" w:eastAsia="Arial" w:hAnsi="Arial"/>
                <w:sz w:val="23"/>
                <w:szCs w:val="23"/>
                <w:color w:val="auto"/>
                <w:vertAlign w:val="superscript"/>
              </w:rPr>
              <w:t>4</w:t>
            </w:r>
          </w:p>
        </w:tc>
        <w:tc>
          <w:tcPr>
            <w:tcW w:w="5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400</w:t>
            </w:r>
          </w:p>
        </w:tc>
      </w:tr>
      <w:tr>
        <w:trPr>
          <w:trHeight w:val="27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4.150% notes due 2045 </w:t>
            </w:r>
            <w:r>
              <w:rPr>
                <w:rFonts w:ascii="Arial" w:cs="Arial" w:eastAsia="Arial" w:hAnsi="Arial"/>
                <w:sz w:val="23"/>
                <w:szCs w:val="23"/>
                <w:color w:val="auto"/>
                <w:vertAlign w:val="superscript"/>
              </w:rPr>
              <w:t>1</w:t>
            </w: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850</w:t>
            </w:r>
          </w:p>
        </w:tc>
      </w:tr>
      <w:tr>
        <w:trPr>
          <w:trHeight w:val="270"/>
        </w:trPr>
        <w:tc>
          <w:tcPr>
            <w:tcW w:w="7900" w:type="dxa"/>
            <w:vAlign w:val="bottom"/>
          </w:tcPr>
          <w:p>
            <w:pPr>
              <w:ind w:left="20"/>
              <w:spacing w:after="0"/>
              <w:rPr>
                <w:sz w:val="20"/>
                <w:szCs w:val="20"/>
                <w:color w:val="auto"/>
              </w:rPr>
            </w:pPr>
            <w:r>
              <w:rPr>
                <w:rFonts w:ascii="Arial" w:cs="Arial" w:eastAsia="Arial" w:hAnsi="Arial"/>
                <w:sz w:val="18"/>
                <w:szCs w:val="18"/>
                <w:color w:val="auto"/>
              </w:rPr>
              <w:t xml:space="preserve">3.750% notes due 2046 </w:t>
            </w:r>
            <w:r>
              <w:rPr>
                <w:rFonts w:ascii="Arial" w:cs="Arial" w:eastAsia="Arial" w:hAnsi="Arial"/>
                <w:sz w:val="23"/>
                <w:szCs w:val="23"/>
                <w:color w:val="auto"/>
                <w:vertAlign w:val="superscript"/>
              </w:rPr>
              <w:t>1</w:t>
            </w:r>
          </w:p>
        </w:tc>
        <w:tc>
          <w:tcPr>
            <w:tcW w:w="5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1,100</w:t>
            </w:r>
          </w:p>
        </w:tc>
      </w:tr>
      <w:tr>
        <w:trPr>
          <w:trHeight w:val="27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4.050% notes due 2047 </w:t>
            </w:r>
            <w:r>
              <w:rPr>
                <w:rFonts w:ascii="Arial" w:cs="Arial" w:eastAsia="Arial" w:hAnsi="Arial"/>
                <w:sz w:val="23"/>
                <w:szCs w:val="23"/>
                <w:color w:val="auto"/>
                <w:vertAlign w:val="superscript"/>
              </w:rPr>
              <w:t>1</w:t>
            </w: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600</w:t>
            </w:r>
          </w:p>
        </w:tc>
      </w:tr>
      <w:tr>
        <w:trPr>
          <w:trHeight w:val="270"/>
        </w:trPr>
        <w:tc>
          <w:tcPr>
            <w:tcW w:w="7900" w:type="dxa"/>
            <w:vAlign w:val="bottom"/>
          </w:tcPr>
          <w:p>
            <w:pPr>
              <w:ind w:left="20"/>
              <w:spacing w:after="0"/>
              <w:rPr>
                <w:sz w:val="20"/>
                <w:szCs w:val="20"/>
                <w:color w:val="auto"/>
              </w:rPr>
            </w:pPr>
            <w:r>
              <w:rPr>
                <w:rFonts w:ascii="Arial" w:cs="Arial" w:eastAsia="Arial" w:hAnsi="Arial"/>
                <w:sz w:val="18"/>
                <w:szCs w:val="18"/>
                <w:color w:val="auto"/>
              </w:rPr>
              <w:t xml:space="preserve">4.350% notes due 2047 </w:t>
            </w:r>
            <w:r>
              <w:rPr>
                <w:rFonts w:ascii="Arial" w:cs="Arial" w:eastAsia="Arial" w:hAnsi="Arial"/>
                <w:sz w:val="23"/>
                <w:szCs w:val="23"/>
                <w:color w:val="auto"/>
                <w:vertAlign w:val="superscript"/>
              </w:rPr>
              <w:t>4</w:t>
            </w:r>
          </w:p>
        </w:tc>
        <w:tc>
          <w:tcPr>
            <w:tcW w:w="5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1,000</w:t>
            </w:r>
          </w:p>
        </w:tc>
      </w:tr>
      <w:tr>
        <w:trPr>
          <w:trHeight w:val="27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4.625% notes due 2048 </w:t>
            </w:r>
            <w:r>
              <w:rPr>
                <w:rFonts w:ascii="Arial" w:cs="Arial" w:eastAsia="Arial" w:hAnsi="Arial"/>
                <w:sz w:val="23"/>
                <w:szCs w:val="23"/>
                <w:color w:val="auto"/>
                <w:vertAlign w:val="superscript"/>
              </w:rPr>
              <w:t>1</w:t>
            </w: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1,750</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1,750</w:t>
            </w:r>
          </w:p>
        </w:tc>
      </w:tr>
      <w:tr>
        <w:trPr>
          <w:trHeight w:val="270"/>
        </w:trPr>
        <w:tc>
          <w:tcPr>
            <w:tcW w:w="7900" w:type="dxa"/>
            <w:vAlign w:val="bottom"/>
          </w:tcPr>
          <w:p>
            <w:pPr>
              <w:ind w:left="20"/>
              <w:spacing w:after="0"/>
              <w:rPr>
                <w:sz w:val="20"/>
                <w:szCs w:val="20"/>
                <w:color w:val="auto"/>
              </w:rPr>
            </w:pPr>
            <w:r>
              <w:rPr>
                <w:rFonts w:ascii="Arial" w:cs="Arial" w:eastAsia="Arial" w:hAnsi="Arial"/>
                <w:sz w:val="18"/>
                <w:szCs w:val="18"/>
                <w:color w:val="auto"/>
              </w:rPr>
              <w:t xml:space="preserve">3.362% notes due 2050 </w:t>
            </w:r>
            <w:r>
              <w:rPr>
                <w:rFonts w:ascii="Arial" w:cs="Arial" w:eastAsia="Arial" w:hAnsi="Arial"/>
                <w:sz w:val="23"/>
                <w:szCs w:val="23"/>
                <w:color w:val="auto"/>
                <w:vertAlign w:val="superscript"/>
              </w:rPr>
              <w:t>6</w:t>
            </w:r>
          </w:p>
        </w:tc>
        <w:tc>
          <w:tcPr>
            <w:tcW w:w="5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3.577% notes due 2050 </w:t>
            </w:r>
            <w:r>
              <w:rPr>
                <w:rFonts w:ascii="Arial" w:cs="Arial" w:eastAsia="Arial" w:hAnsi="Arial"/>
                <w:sz w:val="23"/>
                <w:szCs w:val="23"/>
                <w:color w:val="auto"/>
                <w:vertAlign w:val="superscript"/>
              </w:rPr>
              <w:t>6</w:t>
            </w: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70"/>
        </w:trPr>
        <w:tc>
          <w:tcPr>
            <w:tcW w:w="7900" w:type="dxa"/>
            <w:vAlign w:val="bottom"/>
          </w:tcPr>
          <w:p>
            <w:pPr>
              <w:ind w:left="20"/>
              <w:spacing w:after="0"/>
              <w:rPr>
                <w:sz w:val="20"/>
                <w:szCs w:val="20"/>
                <w:color w:val="auto"/>
              </w:rPr>
            </w:pPr>
            <w:r>
              <w:rPr>
                <w:rFonts w:ascii="Arial" w:cs="Arial" w:eastAsia="Arial" w:hAnsi="Arial"/>
                <w:sz w:val="18"/>
                <w:szCs w:val="18"/>
                <w:color w:val="auto"/>
              </w:rPr>
              <w:t xml:space="preserve">Project financing obligations </w:t>
            </w:r>
            <w:r>
              <w:rPr>
                <w:rFonts w:ascii="Arial" w:cs="Arial" w:eastAsia="Arial" w:hAnsi="Arial"/>
                <w:sz w:val="23"/>
                <w:szCs w:val="23"/>
                <w:color w:val="auto"/>
                <w:vertAlign w:val="superscript"/>
              </w:rPr>
              <w:t>5</w:t>
            </w:r>
          </w:p>
        </w:tc>
        <w:tc>
          <w:tcPr>
            <w:tcW w:w="5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309</w:t>
            </w:r>
          </w:p>
        </w:tc>
      </w:tr>
      <w:tr>
        <w:trPr>
          <w:trHeight w:val="27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(including finance leases)</w:t>
            </w:r>
          </w:p>
        </w:tc>
        <w:tc>
          <w:tcPr>
            <w:tcW w:w="5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331</w:t>
            </w:r>
          </w:p>
        </w:tc>
      </w:tr>
      <w:tr>
        <w:trPr>
          <w:trHeight w:val="237"/>
        </w:trPr>
        <w:tc>
          <w:tcPr>
            <w:tcW w:w="7900" w:type="dxa"/>
            <w:vAlign w:val="bottom"/>
          </w:tcPr>
          <w:p>
            <w:pPr>
              <w:ind w:left="20"/>
              <w:spacing w:after="0"/>
              <w:rPr>
                <w:sz w:val="20"/>
                <w:szCs w:val="20"/>
                <w:color w:val="auto"/>
              </w:rPr>
            </w:pPr>
            <w:r>
              <w:rPr>
                <w:rFonts w:ascii="Arial" w:cs="Arial" w:eastAsia="Arial" w:hAnsi="Arial"/>
                <w:sz w:val="18"/>
                <w:szCs w:val="18"/>
                <w:color w:val="auto"/>
              </w:rPr>
              <w:t>Total principal long-term debt</w:t>
            </w:r>
          </w:p>
        </w:tc>
        <w:tc>
          <w:tcPr>
            <w:tcW w:w="54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44,941</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41,599</w:t>
            </w:r>
          </w:p>
        </w:tc>
      </w:tr>
      <w:tr>
        <w:trPr>
          <w:trHeight w:val="27"/>
        </w:trPr>
        <w:tc>
          <w:tcPr>
            <w:tcW w:w="7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(fair market value adjustments, discounts and debt issuance costs)</w:t>
            </w:r>
          </w:p>
        </w:tc>
        <w:tc>
          <w:tcPr>
            <w:tcW w:w="5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w:t>
            </w:r>
          </w:p>
        </w:tc>
      </w:tr>
      <w:tr>
        <w:trPr>
          <w:trHeight w:val="237"/>
        </w:trPr>
        <w:tc>
          <w:tcPr>
            <w:tcW w:w="790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5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44,594</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41,284</w:t>
            </w:r>
          </w:p>
        </w:tc>
      </w:tr>
      <w:tr>
        <w:trPr>
          <w:trHeight w:val="27"/>
        </w:trPr>
        <w:tc>
          <w:tcPr>
            <w:tcW w:w="7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5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1,362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3,496</w:t>
            </w:r>
          </w:p>
        </w:tc>
      </w:tr>
      <w:tr>
        <w:trPr>
          <w:trHeight w:val="263"/>
        </w:trPr>
        <w:tc>
          <w:tcPr>
            <w:tcW w:w="7900" w:type="dxa"/>
            <w:vAlign w:val="bottom"/>
          </w:tcPr>
          <w:p>
            <w:pPr>
              <w:ind w:left="20"/>
              <w:spacing w:after="0"/>
              <w:rPr>
                <w:sz w:val="20"/>
                <w:szCs w:val="20"/>
                <w:color w:val="auto"/>
              </w:rPr>
            </w:pPr>
            <w:r>
              <w:rPr>
                <w:rFonts w:ascii="Arial" w:cs="Arial" w:eastAsia="Arial" w:hAnsi="Arial"/>
                <w:sz w:val="18"/>
                <w:szCs w:val="18"/>
                <w:color w:val="auto"/>
              </w:rPr>
              <w:t>Long-term debt, net of current portion</w:t>
            </w: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43,232</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37,788</w:t>
            </w:r>
          </w:p>
        </w:tc>
      </w:tr>
      <w:tr>
        <w:trPr>
          <w:trHeight w:val="21"/>
        </w:trPr>
        <w:tc>
          <w:tcPr>
            <w:tcW w:w="79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had no debt issuances in 2019 and had the following issuances of debt during the quarter ended March 31, 2020:</w:t>
      </w:r>
    </w:p>
    <w:p>
      <w:pPr>
        <w:spacing w:after="0" w:line="261"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auto"/>
        </w:rPr>
        <w:t>(dollars and Euro in millions)</w:t>
      </w:r>
    </w:p>
    <w:p>
      <w:pPr>
        <w:spacing w:after="0" w:line="200" w:lineRule="exact"/>
        <w:rPr>
          <w:sz w:val="20"/>
          <w:szCs w:val="20"/>
          <w:color w:val="auto"/>
        </w:rPr>
      </w:pPr>
    </w:p>
    <w:p>
      <w:pPr>
        <w:spacing w:after="0" w:line="297" w:lineRule="exact"/>
        <w:rPr>
          <w:sz w:val="20"/>
          <w:szCs w:val="20"/>
          <w:color w:val="auto"/>
        </w:rPr>
      </w:pPr>
    </w:p>
    <w:p>
      <w:pPr>
        <w:ind w:left="860"/>
        <w:spacing w:after="0"/>
        <w:tabs>
          <w:tab w:leader="none" w:pos="5040" w:val="left"/>
          <w:tab w:leader="none" w:pos="9120" w:val="left"/>
        </w:tabs>
        <w:rPr>
          <w:sz w:val="20"/>
          <w:szCs w:val="20"/>
          <w:color w:val="auto"/>
        </w:rPr>
      </w:pPr>
      <w:r>
        <w:rPr>
          <w:rFonts w:ascii="Arial" w:cs="Arial" w:eastAsia="Arial" w:hAnsi="Arial"/>
          <w:sz w:val="14"/>
          <w:szCs w:val="14"/>
          <w:b w:val="1"/>
          <w:bCs w:val="1"/>
          <w:color w:val="auto"/>
        </w:rPr>
        <w:t>Issuance Date</w:t>
      </w:r>
      <w:r>
        <w:rPr>
          <w:sz w:val="20"/>
          <w:szCs w:val="20"/>
          <w:color w:val="auto"/>
        </w:rPr>
        <w:tab/>
      </w:r>
      <w:r>
        <w:rPr>
          <w:rFonts w:ascii="Arial" w:cs="Arial" w:eastAsia="Arial" w:hAnsi="Arial"/>
          <w:sz w:val="14"/>
          <w:szCs w:val="14"/>
          <w:b w:val="1"/>
          <w:bCs w:val="1"/>
          <w:color w:val="auto"/>
        </w:rPr>
        <w:t>Description of Notes</w:t>
      </w:r>
      <w:r>
        <w:rPr>
          <w:sz w:val="20"/>
          <w:szCs w:val="20"/>
          <w:color w:val="auto"/>
        </w:rPr>
        <w:tab/>
      </w:r>
      <w:r>
        <w:rPr>
          <w:rFonts w:ascii="Arial" w:cs="Arial" w:eastAsia="Arial" w:hAnsi="Arial"/>
          <w:sz w:val="12"/>
          <w:szCs w:val="12"/>
          <w:b w:val="1"/>
          <w:bCs w:val="1"/>
          <w:color w:val="auto"/>
        </w:rPr>
        <w:t>Aggregate Principal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803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ectPr>
          <w:pgSz w:w="11900" w:h="16838" w:orient="portrait"/>
          <w:cols w:equalWidth="0" w:num="1">
            <w:col w:w="11240"/>
          </w:cols>
          <w:pgMar w:left="320" w:top="1063" w:right="339" w:bottom="763" w:gutter="0" w:footer="0" w:header="0"/>
        </w:sectPr>
      </w:pPr>
    </w:p>
    <w:p>
      <w:pPr>
        <w:spacing w:after="0" w:line="63"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27,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27, 2020</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 xml:space="preserve">1.923% notes due 2023 </w:t>
            </w:r>
            <w:r>
              <w:rPr>
                <w:rFonts w:ascii="Arial" w:cs="Arial" w:eastAsia="Arial" w:hAnsi="Arial"/>
                <w:sz w:val="23"/>
                <w:szCs w:val="23"/>
                <w:color w:val="auto"/>
                <w:vertAlign w:val="superscript"/>
              </w:rPr>
              <w:t>1</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500</w:t>
            </w: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 xml:space="preserve">Libor plus 0.450% floating rate notes due 2023 </w:t>
            </w:r>
            <w:r>
              <w:rPr>
                <w:rFonts w:ascii="Arial" w:cs="Arial" w:eastAsia="Arial" w:hAnsi="Arial"/>
                <w:sz w:val="23"/>
                <w:szCs w:val="23"/>
                <w:color w:val="auto"/>
                <w:vertAlign w:val="superscript"/>
              </w:rPr>
              <w:t>1</w:t>
            </w:r>
          </w:p>
        </w:tc>
        <w:tc>
          <w:tcPr>
            <w:tcW w:w="960" w:type="dxa"/>
            <w:vAlign w:val="bottom"/>
          </w:tcPr>
          <w:p>
            <w:pPr>
              <w:spacing w:after="0"/>
              <w:rPr>
                <w:sz w:val="23"/>
                <w:szCs w:val="23"/>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500</w:t>
            </w: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 xml:space="preserve">2.056% notes due 2025 </w:t>
            </w:r>
            <w:r>
              <w:rPr>
                <w:rFonts w:ascii="Arial" w:cs="Arial" w:eastAsia="Arial" w:hAnsi="Arial"/>
                <w:sz w:val="23"/>
                <w:szCs w:val="23"/>
                <w:color w:val="auto"/>
                <w:vertAlign w:val="superscript"/>
              </w:rPr>
              <w:t>1</w:t>
            </w:r>
          </w:p>
        </w:tc>
        <w:tc>
          <w:tcPr>
            <w:tcW w:w="960" w:type="dxa"/>
            <w:vAlign w:val="bottom"/>
          </w:tcPr>
          <w:p>
            <w:pPr>
              <w:spacing w:after="0"/>
              <w:rPr>
                <w:sz w:val="23"/>
                <w:szCs w:val="23"/>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1,300</w:t>
            </w: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 xml:space="preserve">2.242% notes due 2025 </w:t>
            </w:r>
            <w:r>
              <w:rPr>
                <w:rFonts w:ascii="Arial" w:cs="Arial" w:eastAsia="Arial" w:hAnsi="Arial"/>
                <w:sz w:val="23"/>
                <w:szCs w:val="23"/>
                <w:color w:val="auto"/>
                <w:vertAlign w:val="superscript"/>
              </w:rPr>
              <w:t>1</w:t>
            </w:r>
          </w:p>
        </w:tc>
        <w:tc>
          <w:tcPr>
            <w:tcW w:w="960" w:type="dxa"/>
            <w:vAlign w:val="bottom"/>
          </w:tcPr>
          <w:p>
            <w:pPr>
              <w:spacing w:after="0"/>
              <w:rPr>
                <w:sz w:val="23"/>
                <w:szCs w:val="23"/>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2,000</w:t>
            </w: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 xml:space="preserve">2.293% notes due 2027 </w:t>
            </w:r>
            <w:r>
              <w:rPr>
                <w:rFonts w:ascii="Arial" w:cs="Arial" w:eastAsia="Arial" w:hAnsi="Arial"/>
                <w:sz w:val="23"/>
                <w:szCs w:val="23"/>
                <w:color w:val="auto"/>
                <w:vertAlign w:val="superscript"/>
              </w:rPr>
              <w:t>1</w:t>
            </w:r>
          </w:p>
        </w:tc>
        <w:tc>
          <w:tcPr>
            <w:tcW w:w="960" w:type="dxa"/>
            <w:vAlign w:val="bottom"/>
          </w:tcPr>
          <w:p>
            <w:pPr>
              <w:spacing w:after="0"/>
              <w:rPr>
                <w:sz w:val="23"/>
                <w:szCs w:val="23"/>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500</w:t>
            </w: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 xml:space="preserve">2.493% notes due 2027 </w:t>
            </w:r>
            <w:r>
              <w:rPr>
                <w:rFonts w:ascii="Arial" w:cs="Arial" w:eastAsia="Arial" w:hAnsi="Arial"/>
                <w:sz w:val="23"/>
                <w:szCs w:val="23"/>
                <w:color w:val="auto"/>
                <w:vertAlign w:val="superscript"/>
              </w:rPr>
              <w:t>1</w:t>
            </w:r>
          </w:p>
        </w:tc>
        <w:tc>
          <w:tcPr>
            <w:tcW w:w="960" w:type="dxa"/>
            <w:vAlign w:val="bottom"/>
          </w:tcPr>
          <w:p>
            <w:pPr>
              <w:spacing w:after="0"/>
              <w:rPr>
                <w:sz w:val="23"/>
                <w:szCs w:val="23"/>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1,250</w:t>
            </w: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 xml:space="preserve">2.565% notes due 2030 </w:t>
            </w:r>
            <w:r>
              <w:rPr>
                <w:rFonts w:ascii="Arial" w:cs="Arial" w:eastAsia="Arial" w:hAnsi="Arial"/>
                <w:sz w:val="23"/>
                <w:szCs w:val="23"/>
                <w:color w:val="auto"/>
                <w:vertAlign w:val="superscript"/>
              </w:rPr>
              <w:t>1</w:t>
            </w:r>
          </w:p>
        </w:tc>
        <w:tc>
          <w:tcPr>
            <w:tcW w:w="960" w:type="dxa"/>
            <w:vAlign w:val="bottom"/>
          </w:tcPr>
          <w:p>
            <w:pPr>
              <w:spacing w:after="0"/>
              <w:rPr>
                <w:sz w:val="23"/>
                <w:szCs w:val="23"/>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1,500</w:t>
            </w: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 xml:space="preserve">2.722% notes due 2030 </w:t>
            </w:r>
            <w:r>
              <w:rPr>
                <w:rFonts w:ascii="Arial" w:cs="Arial" w:eastAsia="Arial" w:hAnsi="Arial"/>
                <w:sz w:val="23"/>
                <w:szCs w:val="23"/>
                <w:color w:val="auto"/>
                <w:vertAlign w:val="superscript"/>
              </w:rPr>
              <w:t>1</w:t>
            </w:r>
          </w:p>
        </w:tc>
        <w:tc>
          <w:tcPr>
            <w:tcW w:w="960" w:type="dxa"/>
            <w:vAlign w:val="bottom"/>
          </w:tcPr>
          <w:p>
            <w:pPr>
              <w:spacing w:after="0"/>
              <w:rPr>
                <w:sz w:val="23"/>
                <w:szCs w:val="23"/>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2,000</w:t>
            </w: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 xml:space="preserve">3.112% notes due 2040 </w:t>
            </w:r>
            <w:r>
              <w:rPr>
                <w:rFonts w:ascii="Arial" w:cs="Arial" w:eastAsia="Arial" w:hAnsi="Arial"/>
                <w:sz w:val="23"/>
                <w:szCs w:val="23"/>
                <w:color w:val="auto"/>
                <w:vertAlign w:val="superscript"/>
              </w:rPr>
              <w:t>1</w:t>
            </w:r>
          </w:p>
        </w:tc>
        <w:tc>
          <w:tcPr>
            <w:tcW w:w="960" w:type="dxa"/>
            <w:vAlign w:val="bottom"/>
          </w:tcPr>
          <w:p>
            <w:pPr>
              <w:spacing w:after="0"/>
              <w:rPr>
                <w:sz w:val="23"/>
                <w:szCs w:val="23"/>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750</w:t>
            </w: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 xml:space="preserve">3.377% notes due 2040 </w:t>
            </w:r>
            <w:r>
              <w:rPr>
                <w:rFonts w:ascii="Arial" w:cs="Arial" w:eastAsia="Arial" w:hAnsi="Arial"/>
                <w:sz w:val="23"/>
                <w:szCs w:val="23"/>
                <w:color w:val="auto"/>
                <w:vertAlign w:val="superscript"/>
              </w:rPr>
              <w:t>1</w:t>
            </w:r>
          </w:p>
        </w:tc>
        <w:tc>
          <w:tcPr>
            <w:tcW w:w="960" w:type="dxa"/>
            <w:vAlign w:val="bottom"/>
          </w:tcPr>
          <w:p>
            <w:pPr>
              <w:spacing w:after="0"/>
              <w:rPr>
                <w:sz w:val="23"/>
                <w:szCs w:val="23"/>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1,500</w:t>
            </w: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 xml:space="preserve">3.362% notes due 2050 </w:t>
            </w:r>
            <w:r>
              <w:rPr>
                <w:rFonts w:ascii="Arial" w:cs="Arial" w:eastAsia="Arial" w:hAnsi="Arial"/>
                <w:sz w:val="23"/>
                <w:szCs w:val="23"/>
                <w:color w:val="auto"/>
                <w:vertAlign w:val="superscript"/>
              </w:rPr>
              <w:t>1</w:t>
            </w:r>
          </w:p>
        </w:tc>
        <w:tc>
          <w:tcPr>
            <w:tcW w:w="960" w:type="dxa"/>
            <w:vAlign w:val="bottom"/>
          </w:tcPr>
          <w:p>
            <w:pPr>
              <w:spacing w:after="0"/>
              <w:rPr>
                <w:sz w:val="23"/>
                <w:szCs w:val="23"/>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2,000</w:t>
            </w: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 xml:space="preserve">3.577% notes due 2050 </w:t>
            </w:r>
            <w:r>
              <w:rPr>
                <w:rFonts w:ascii="Arial" w:cs="Arial" w:eastAsia="Arial" w:hAnsi="Arial"/>
                <w:sz w:val="23"/>
                <w:szCs w:val="23"/>
                <w:color w:val="auto"/>
                <w:vertAlign w:val="superscript"/>
              </w:rPr>
              <w:t>1</w:t>
            </w:r>
          </w:p>
        </w:tc>
        <w:tc>
          <w:tcPr>
            <w:tcW w:w="960" w:type="dxa"/>
            <w:vAlign w:val="bottom"/>
          </w:tcPr>
          <w:p>
            <w:pPr>
              <w:spacing w:after="0"/>
              <w:rPr>
                <w:sz w:val="23"/>
                <w:szCs w:val="23"/>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750</w:t>
            </w: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 xml:space="preserve">Term Loan due 2023 (Otis) </w:t>
            </w:r>
            <w:r>
              <w:rPr>
                <w:rFonts w:ascii="Arial" w:cs="Arial" w:eastAsia="Arial" w:hAnsi="Arial"/>
                <w:sz w:val="23"/>
                <w:szCs w:val="23"/>
                <w:color w:val="auto"/>
                <w:vertAlign w:val="superscript"/>
              </w:rPr>
              <w:t>1</w:t>
            </w:r>
          </w:p>
        </w:tc>
        <w:tc>
          <w:tcPr>
            <w:tcW w:w="960" w:type="dxa"/>
            <w:vAlign w:val="bottom"/>
          </w:tcPr>
          <w:p>
            <w:pPr>
              <w:spacing w:after="0"/>
              <w:rPr>
                <w:sz w:val="23"/>
                <w:szCs w:val="23"/>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1,000</w:t>
            </w:r>
          </w:p>
        </w:tc>
      </w:tr>
      <w:tr>
        <w:trPr>
          <w:trHeight w:val="257"/>
        </w:trPr>
        <w:tc>
          <w:tcPr>
            <w:tcW w:w="6200" w:type="dxa"/>
            <w:vAlign w:val="bottom"/>
          </w:tcPr>
          <w:p>
            <w:pPr>
              <w:spacing w:after="0" w:line="257" w:lineRule="exact"/>
              <w:rPr>
                <w:sz w:val="20"/>
                <w:szCs w:val="20"/>
                <w:color w:val="auto"/>
              </w:rPr>
            </w:pPr>
            <w:r>
              <w:rPr>
                <w:rFonts w:ascii="Arial" w:cs="Arial" w:eastAsia="Arial" w:hAnsi="Arial"/>
                <w:sz w:val="18"/>
                <w:szCs w:val="18"/>
                <w:color w:val="auto"/>
              </w:rPr>
              <w:t xml:space="preserve">Term Loan due 2023 (Carrier) </w:t>
            </w:r>
            <w:r>
              <w:rPr>
                <w:rFonts w:ascii="Arial" w:cs="Arial" w:eastAsia="Arial" w:hAnsi="Arial"/>
                <w:sz w:val="23"/>
                <w:szCs w:val="23"/>
                <w:color w:val="auto"/>
                <w:vertAlign w:val="superscript"/>
              </w:rPr>
              <w:t>1</w:t>
            </w:r>
          </w:p>
        </w:tc>
        <w:tc>
          <w:tcPr>
            <w:tcW w:w="9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1,750</w:t>
            </w:r>
          </w:p>
        </w:tc>
      </w:tr>
      <w:tr>
        <w:trPr>
          <w:trHeight w:val="236"/>
        </w:trPr>
        <w:tc>
          <w:tcPr>
            <w:tcW w:w="6200" w:type="dxa"/>
            <w:vAlign w:val="bottom"/>
          </w:tcPr>
          <w:p>
            <w:pPr>
              <w:spacing w:after="0"/>
              <w:rPr>
                <w:sz w:val="20"/>
                <w:szCs w:val="20"/>
                <w:color w:val="auto"/>
              </w:rPr>
            </w:pP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17,300</w:t>
            </w:r>
          </w:p>
        </w:tc>
      </w:tr>
      <w:tr>
        <w:trPr>
          <w:trHeight w:val="27"/>
        </w:trPr>
        <w:tc>
          <w:tcPr>
            <w:tcW w:w="62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6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-1645285</wp:posOffset>
            </wp:positionH>
            <wp:positionV relativeFrom="paragraph">
              <wp:posOffset>-2270760</wp:posOffset>
            </wp:positionV>
            <wp:extent cx="713232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-1927860</wp:posOffset>
            </wp:positionV>
            <wp:extent cx="713232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-1585595</wp:posOffset>
            </wp:positionV>
            <wp:extent cx="713232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-1242695</wp:posOffset>
            </wp:positionV>
            <wp:extent cx="713232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-899795</wp:posOffset>
            </wp:positionV>
            <wp:extent cx="713232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-556895</wp:posOffset>
            </wp:positionV>
            <wp:extent cx="713232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-213995</wp:posOffset>
            </wp:positionV>
            <wp:extent cx="7132320" cy="1968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130" w:lineRule="exact"/>
        <w:rPr>
          <w:sz w:val="20"/>
          <w:szCs w:val="20"/>
          <w:color w:val="auto"/>
        </w:rPr>
      </w:pPr>
    </w:p>
    <w:p>
      <w:pPr>
        <w:sectPr>
          <w:pgSz w:w="11900" w:h="16838" w:orient="portrait"/>
          <w:cols w:equalWidth="0" w:num="2">
            <w:col w:w="1880" w:space="720"/>
            <w:col w:w="8640"/>
          </w:cols>
          <w:pgMar w:left="320" w:top="1063" w:right="339" w:bottom="763" w:gutter="0" w:footer="0" w:header="0"/>
          <w:type w:val="continuous"/>
        </w:sectPr>
      </w:pPr>
    </w:p>
    <w:p>
      <w:pPr>
        <w:ind w:left="340" w:right="100" w:hanging="323"/>
        <w:spacing w:after="0" w:line="267" w:lineRule="auto"/>
        <w:rPr>
          <w:sz w:val="20"/>
          <w:szCs w:val="20"/>
          <w:color w:val="auto"/>
        </w:rPr>
      </w:pPr>
      <w:r>
        <w:rPr>
          <w:rFonts w:ascii="Arial" w:cs="Arial" w:eastAsia="Arial" w:hAnsi="Arial"/>
          <w:sz w:val="14"/>
          <w:szCs w:val="14"/>
          <w:color w:val="auto"/>
        </w:rPr>
        <w:t>1 The debt issuances and term loan draws reflect additional debt incurred by Otis and Carrier and attributed to those businesses post Separation Transactions. The net proceeds of these issuances were primarily utilized to extinguish Raytheon Technologies short term and long term debt in order to achieve the applicable net indebtedness required by the merger agreement with Raytheon.</w:t>
      </w:r>
    </w:p>
    <w:p>
      <w:pPr>
        <w:sectPr>
          <w:pgSz w:w="11900" w:h="16838" w:orient="portrait"/>
          <w:cols w:equalWidth="0" w:num="1">
            <w:col w:w="11240"/>
          </w:cols>
          <w:pgMar w:left="320" w:top="1063" w:right="339" w:bottom="76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3" w:right="339" w:bottom="763" w:gutter="0" w:footer="0" w:header="0"/>
          <w:type w:val="continuous"/>
        </w:sectPr>
      </w:pPr>
    </w:p>
    <w:bookmarkStart w:id="47" w:name="page48"/>
    <w:bookmarkEnd w:id="47"/>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had the following repayments of debt during the quarter ended March 31, 2020 and the year-ended December 31, 2019:</w:t>
      </w:r>
    </w:p>
    <w:p>
      <w:pPr>
        <w:spacing w:after="0" w:line="261"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(dollars and Euro in millions)</w:t>
      </w:r>
    </w:p>
    <w:p>
      <w:pPr>
        <w:spacing w:after="0" w:line="389" w:lineRule="exact"/>
        <w:rPr>
          <w:sz w:val="20"/>
          <w:szCs w:val="20"/>
          <w:color w:val="auto"/>
        </w:rPr>
      </w:pPr>
    </w:p>
    <w:p>
      <w:pPr>
        <w:ind w:left="780"/>
        <w:spacing w:after="0"/>
        <w:tabs>
          <w:tab w:leader="none" w:pos="5040" w:val="left"/>
          <w:tab w:leader="none" w:pos="9120" w:val="left"/>
        </w:tabs>
        <w:rPr>
          <w:sz w:val="20"/>
          <w:szCs w:val="20"/>
          <w:color w:val="auto"/>
        </w:rPr>
      </w:pPr>
      <w:r>
        <w:rPr>
          <w:rFonts w:ascii="Arial" w:cs="Arial" w:eastAsia="Arial" w:hAnsi="Arial"/>
          <w:sz w:val="14"/>
          <w:szCs w:val="14"/>
          <w:b w:val="1"/>
          <w:bCs w:val="1"/>
          <w:color w:val="auto"/>
        </w:rPr>
        <w:t>Repayment Date</w:t>
      </w:r>
      <w:r>
        <w:rPr>
          <w:sz w:val="20"/>
          <w:szCs w:val="20"/>
          <w:color w:val="auto"/>
        </w:rPr>
        <w:tab/>
      </w:r>
      <w:r>
        <w:rPr>
          <w:rFonts w:ascii="Arial" w:cs="Arial" w:eastAsia="Arial" w:hAnsi="Arial"/>
          <w:sz w:val="14"/>
          <w:szCs w:val="14"/>
          <w:b w:val="1"/>
          <w:bCs w:val="1"/>
          <w:color w:val="auto"/>
        </w:rPr>
        <w:t>Description of Notes</w:t>
      </w:r>
      <w:r>
        <w:rPr>
          <w:sz w:val="20"/>
          <w:szCs w:val="20"/>
          <w:color w:val="auto"/>
        </w:rPr>
        <w:tab/>
      </w:r>
      <w:r>
        <w:rPr>
          <w:rFonts w:ascii="Arial" w:cs="Arial" w:eastAsia="Arial" w:hAnsi="Arial"/>
          <w:sz w:val="12"/>
          <w:szCs w:val="12"/>
          <w:b w:val="1"/>
          <w:bCs w:val="1"/>
          <w:color w:val="auto"/>
        </w:rPr>
        <w:t>Aggregate Principal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97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29,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3,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 w:right="520"/>
        <w:spacing w:after="0" w:line="412" w:lineRule="auto"/>
        <w:rPr>
          <w:sz w:val="20"/>
          <w:szCs w:val="20"/>
          <w:color w:val="auto"/>
        </w:rPr>
      </w:pPr>
      <w:r>
        <w:rPr>
          <w:rFonts w:ascii="Arial" w:cs="Arial" w:eastAsia="Arial" w:hAnsi="Arial"/>
          <w:sz w:val="16"/>
          <w:szCs w:val="16"/>
          <w:color w:val="auto"/>
        </w:rPr>
        <w:t>March 2, 2020 February 28, 2020</w:t>
      </w: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November 15, 2019</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November 13, 2019</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7"/>
          <w:szCs w:val="17"/>
          <w:color w:val="auto"/>
        </w:rPr>
        <w:t>November 1, 2019</w:t>
      </w:r>
    </w:p>
    <w:p>
      <w:pPr>
        <w:spacing w:after="0" w:line="200" w:lineRule="exact"/>
        <w:rPr>
          <w:sz w:val="20"/>
          <w:szCs w:val="20"/>
          <w:color w:val="auto"/>
        </w:rPr>
      </w:pPr>
    </w:p>
    <w:p>
      <w:pPr>
        <w:spacing w:after="0" w:line="3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July 15, 2019</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 xml:space="preserve">4.500% notes due 2020 </w:t>
            </w:r>
            <w:r>
              <w:rPr>
                <w:rFonts w:ascii="Arial" w:cs="Arial" w:eastAsia="Arial" w:hAnsi="Arial"/>
                <w:sz w:val="23"/>
                <w:szCs w:val="23"/>
                <w:color w:val="auto"/>
                <w:vertAlign w:val="superscript"/>
              </w:rPr>
              <w:t>2,3</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 xml:space="preserve">1.125% notes due 2021 (€950,000,000 million principal value) </w:t>
            </w:r>
            <w:r>
              <w:rPr>
                <w:rFonts w:ascii="Arial" w:cs="Arial" w:eastAsia="Arial" w:hAnsi="Arial"/>
                <w:sz w:val="23"/>
                <w:szCs w:val="23"/>
                <w:color w:val="auto"/>
                <w:vertAlign w:val="superscript"/>
              </w:rPr>
              <w:t>2,3</w:t>
            </w:r>
          </w:p>
        </w:tc>
        <w:tc>
          <w:tcPr>
            <w:tcW w:w="960" w:type="dxa"/>
            <w:vAlign w:val="bottom"/>
          </w:tcPr>
          <w:p>
            <w:pPr>
              <w:spacing w:after="0"/>
              <w:rPr>
                <w:sz w:val="23"/>
                <w:szCs w:val="23"/>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 xml:space="preserve">1.250% notes due 2023 (€750,000,000 million principal value) </w:t>
            </w:r>
            <w:r>
              <w:rPr>
                <w:rFonts w:ascii="Arial" w:cs="Arial" w:eastAsia="Arial" w:hAnsi="Arial"/>
                <w:sz w:val="23"/>
                <w:szCs w:val="23"/>
                <w:color w:val="auto"/>
                <w:vertAlign w:val="superscript"/>
              </w:rPr>
              <w:t>2,3</w:t>
            </w:r>
          </w:p>
        </w:tc>
        <w:tc>
          <w:tcPr>
            <w:tcW w:w="960" w:type="dxa"/>
            <w:vAlign w:val="bottom"/>
          </w:tcPr>
          <w:p>
            <w:pPr>
              <w:spacing w:after="0"/>
              <w:rPr>
                <w:sz w:val="23"/>
                <w:szCs w:val="23"/>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 xml:space="preserve">1.150% notes due 2024 (€750,000,000 million principal value) </w:t>
            </w:r>
            <w:r>
              <w:rPr>
                <w:rFonts w:ascii="Arial" w:cs="Arial" w:eastAsia="Arial" w:hAnsi="Arial"/>
                <w:sz w:val="23"/>
                <w:szCs w:val="23"/>
                <w:color w:val="auto"/>
                <w:vertAlign w:val="superscript"/>
              </w:rPr>
              <w:t>2,3</w:t>
            </w:r>
          </w:p>
        </w:tc>
        <w:tc>
          <w:tcPr>
            <w:tcW w:w="960" w:type="dxa"/>
            <w:vAlign w:val="bottom"/>
          </w:tcPr>
          <w:p>
            <w:pPr>
              <w:spacing w:after="0"/>
              <w:rPr>
                <w:sz w:val="23"/>
                <w:szCs w:val="23"/>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 xml:space="preserve">1.875% notes due 2026 (€500,000,000 million principal value) </w:t>
            </w:r>
            <w:r>
              <w:rPr>
                <w:rFonts w:ascii="Arial" w:cs="Arial" w:eastAsia="Arial" w:hAnsi="Arial"/>
                <w:sz w:val="23"/>
                <w:szCs w:val="23"/>
                <w:color w:val="auto"/>
                <w:vertAlign w:val="superscript"/>
              </w:rPr>
              <w:t>2,3</w:t>
            </w:r>
          </w:p>
        </w:tc>
        <w:tc>
          <w:tcPr>
            <w:tcW w:w="960" w:type="dxa"/>
            <w:vAlign w:val="bottom"/>
          </w:tcPr>
          <w:p>
            <w:pPr>
              <w:spacing w:after="0"/>
              <w:rPr>
                <w:sz w:val="23"/>
                <w:szCs w:val="23"/>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 xml:space="preserve">1.900% notes due 2020 </w:t>
            </w:r>
            <w:r>
              <w:rPr>
                <w:rFonts w:ascii="Arial" w:cs="Arial" w:eastAsia="Arial" w:hAnsi="Arial"/>
                <w:sz w:val="23"/>
                <w:szCs w:val="23"/>
                <w:color w:val="auto"/>
                <w:vertAlign w:val="superscript"/>
              </w:rPr>
              <w:t>2,3</w:t>
            </w:r>
          </w:p>
        </w:tc>
        <w:tc>
          <w:tcPr>
            <w:tcW w:w="960" w:type="dxa"/>
            <w:vAlign w:val="bottom"/>
          </w:tcPr>
          <w:p>
            <w:pPr>
              <w:spacing w:after="0"/>
              <w:rPr>
                <w:sz w:val="23"/>
                <w:szCs w:val="23"/>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 xml:space="preserve">3.350% notes due 2021 </w:t>
            </w:r>
            <w:r>
              <w:rPr>
                <w:rFonts w:ascii="Arial" w:cs="Arial" w:eastAsia="Arial" w:hAnsi="Arial"/>
                <w:sz w:val="23"/>
                <w:szCs w:val="23"/>
                <w:color w:val="auto"/>
                <w:vertAlign w:val="superscript"/>
              </w:rPr>
              <w:t>2,3</w:t>
            </w:r>
          </w:p>
        </w:tc>
        <w:tc>
          <w:tcPr>
            <w:tcW w:w="960" w:type="dxa"/>
            <w:vAlign w:val="bottom"/>
          </w:tcPr>
          <w:p>
            <w:pPr>
              <w:spacing w:after="0"/>
              <w:rPr>
                <w:sz w:val="23"/>
                <w:szCs w:val="23"/>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 xml:space="preserve">LIBOR plus 0.650% floating rate notes due 2021 </w:t>
            </w:r>
            <w:r>
              <w:rPr>
                <w:rFonts w:ascii="Arial" w:cs="Arial" w:eastAsia="Arial" w:hAnsi="Arial"/>
                <w:sz w:val="23"/>
                <w:szCs w:val="23"/>
                <w:color w:val="auto"/>
                <w:vertAlign w:val="superscript"/>
              </w:rPr>
              <w:t>2,3</w:t>
            </w:r>
          </w:p>
        </w:tc>
        <w:tc>
          <w:tcPr>
            <w:tcW w:w="960" w:type="dxa"/>
            <w:vAlign w:val="bottom"/>
          </w:tcPr>
          <w:p>
            <w:pPr>
              <w:spacing w:after="0"/>
              <w:rPr>
                <w:sz w:val="23"/>
                <w:szCs w:val="23"/>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 xml:space="preserve">1.950% notes due 2021 </w:t>
            </w:r>
            <w:r>
              <w:rPr>
                <w:rFonts w:ascii="Arial" w:cs="Arial" w:eastAsia="Arial" w:hAnsi="Arial"/>
                <w:sz w:val="23"/>
                <w:szCs w:val="23"/>
                <w:color w:val="auto"/>
                <w:vertAlign w:val="superscript"/>
              </w:rPr>
              <w:t>2,3</w:t>
            </w:r>
          </w:p>
        </w:tc>
        <w:tc>
          <w:tcPr>
            <w:tcW w:w="960" w:type="dxa"/>
            <w:vAlign w:val="bottom"/>
          </w:tcPr>
          <w:p>
            <w:pPr>
              <w:spacing w:after="0"/>
              <w:rPr>
                <w:sz w:val="23"/>
                <w:szCs w:val="23"/>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 xml:space="preserve">2.300% notes due 2022 </w:t>
            </w:r>
            <w:r>
              <w:rPr>
                <w:rFonts w:ascii="Arial" w:cs="Arial" w:eastAsia="Arial" w:hAnsi="Arial"/>
                <w:sz w:val="23"/>
                <w:szCs w:val="23"/>
                <w:color w:val="auto"/>
                <w:vertAlign w:val="superscript"/>
              </w:rPr>
              <w:t>2,3</w:t>
            </w:r>
          </w:p>
        </w:tc>
        <w:tc>
          <w:tcPr>
            <w:tcW w:w="960" w:type="dxa"/>
            <w:vAlign w:val="bottom"/>
          </w:tcPr>
          <w:p>
            <w:pPr>
              <w:spacing w:after="0"/>
              <w:rPr>
                <w:sz w:val="23"/>
                <w:szCs w:val="23"/>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 xml:space="preserve">3.100% notes due 2022 </w:t>
            </w:r>
            <w:r>
              <w:rPr>
                <w:rFonts w:ascii="Arial" w:cs="Arial" w:eastAsia="Arial" w:hAnsi="Arial"/>
                <w:sz w:val="23"/>
                <w:szCs w:val="23"/>
                <w:color w:val="auto"/>
                <w:vertAlign w:val="superscript"/>
              </w:rPr>
              <w:t>2,3</w:t>
            </w:r>
          </w:p>
        </w:tc>
        <w:tc>
          <w:tcPr>
            <w:tcW w:w="960" w:type="dxa"/>
            <w:vAlign w:val="bottom"/>
          </w:tcPr>
          <w:p>
            <w:pPr>
              <w:spacing w:after="0"/>
              <w:rPr>
                <w:sz w:val="23"/>
                <w:szCs w:val="23"/>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 xml:space="preserve">2.800% notes due 2024 </w:t>
            </w:r>
            <w:r>
              <w:rPr>
                <w:rFonts w:ascii="Arial" w:cs="Arial" w:eastAsia="Arial" w:hAnsi="Arial"/>
                <w:sz w:val="23"/>
                <w:szCs w:val="23"/>
                <w:color w:val="auto"/>
                <w:vertAlign w:val="superscript"/>
              </w:rPr>
              <w:t>2,3</w:t>
            </w:r>
          </w:p>
        </w:tc>
        <w:tc>
          <w:tcPr>
            <w:tcW w:w="960" w:type="dxa"/>
            <w:vAlign w:val="bottom"/>
          </w:tcPr>
          <w:p>
            <w:pPr>
              <w:spacing w:after="0"/>
              <w:rPr>
                <w:sz w:val="23"/>
                <w:szCs w:val="23"/>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 xml:space="preserve">4.875% notes due 2020 </w:t>
            </w:r>
            <w:r>
              <w:rPr>
                <w:rFonts w:ascii="Arial" w:cs="Arial" w:eastAsia="Arial" w:hAnsi="Arial"/>
                <w:sz w:val="23"/>
                <w:szCs w:val="23"/>
                <w:color w:val="auto"/>
                <w:vertAlign w:val="superscript"/>
              </w:rPr>
              <w:t>2,3</w:t>
            </w:r>
          </w:p>
        </w:tc>
        <w:tc>
          <w:tcPr>
            <w:tcW w:w="960" w:type="dxa"/>
            <w:vAlign w:val="bottom"/>
          </w:tcPr>
          <w:p>
            <w:pPr>
              <w:spacing w:after="0"/>
              <w:rPr>
                <w:sz w:val="23"/>
                <w:szCs w:val="23"/>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 xml:space="preserve">3.650% notes due 2023 </w:t>
            </w:r>
            <w:r>
              <w:rPr>
                <w:rFonts w:ascii="Arial" w:cs="Arial" w:eastAsia="Arial" w:hAnsi="Arial"/>
                <w:sz w:val="23"/>
                <w:szCs w:val="23"/>
                <w:color w:val="auto"/>
                <w:vertAlign w:val="superscript"/>
              </w:rPr>
              <w:t>2,3</w:t>
            </w:r>
          </w:p>
        </w:tc>
        <w:tc>
          <w:tcPr>
            <w:tcW w:w="960" w:type="dxa"/>
            <w:vAlign w:val="bottom"/>
          </w:tcPr>
          <w:p>
            <w:pPr>
              <w:spacing w:after="0"/>
              <w:rPr>
                <w:sz w:val="23"/>
                <w:szCs w:val="23"/>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57"/>
        </w:trPr>
        <w:tc>
          <w:tcPr>
            <w:tcW w:w="6200" w:type="dxa"/>
            <w:vAlign w:val="bottom"/>
          </w:tcPr>
          <w:p>
            <w:pPr>
              <w:spacing w:after="0" w:line="257" w:lineRule="exact"/>
              <w:rPr>
                <w:sz w:val="20"/>
                <w:szCs w:val="20"/>
                <w:color w:val="auto"/>
              </w:rPr>
            </w:pPr>
            <w:r>
              <w:rPr>
                <w:rFonts w:ascii="Arial" w:cs="Arial" w:eastAsia="Arial" w:hAnsi="Arial"/>
                <w:sz w:val="18"/>
                <w:szCs w:val="18"/>
                <w:color w:val="auto"/>
              </w:rPr>
              <w:t xml:space="preserve">2.650% notes due 2026 </w:t>
            </w:r>
            <w:r>
              <w:rPr>
                <w:rFonts w:ascii="Arial" w:cs="Arial" w:eastAsia="Arial" w:hAnsi="Arial"/>
                <w:sz w:val="23"/>
                <w:szCs w:val="23"/>
                <w:color w:val="auto"/>
                <w:vertAlign w:val="superscript"/>
              </w:rPr>
              <w:t>2,3</w:t>
            </w:r>
          </w:p>
        </w:tc>
        <w:tc>
          <w:tcPr>
            <w:tcW w:w="9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37"/>
        </w:trPr>
        <w:tc>
          <w:tcPr>
            <w:tcW w:w="6200" w:type="dxa"/>
            <w:vAlign w:val="bottom"/>
          </w:tcPr>
          <w:p>
            <w:pPr>
              <w:spacing w:after="0"/>
              <w:rPr>
                <w:sz w:val="20"/>
                <w:szCs w:val="20"/>
                <w:color w:val="auto"/>
              </w:rPr>
            </w:pP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13,947</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6200" w:type="dxa"/>
            <w:vAlign w:val="bottom"/>
          </w:tcPr>
          <w:p>
            <w:pPr>
              <w:spacing w:after="0"/>
              <w:rPr>
                <w:sz w:val="20"/>
                <w:szCs w:val="20"/>
                <w:color w:val="auto"/>
              </w:rPr>
            </w:pPr>
            <w:r>
              <w:rPr>
                <w:rFonts w:ascii="Arial" w:cs="Arial" w:eastAsia="Arial" w:hAnsi="Arial"/>
                <w:sz w:val="18"/>
                <w:szCs w:val="18"/>
                <w:color w:val="auto"/>
              </w:rPr>
              <w:t>8.875% notes due 2019</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EURIBOR plus 0.15% floating rate notes due 2019</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LIBOR plus 0.350% floating rate notes due 2019</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69"/>
        </w:trPr>
        <w:tc>
          <w:tcPr>
            <w:tcW w:w="6200" w:type="dxa"/>
            <w:vAlign w:val="bottom"/>
          </w:tcPr>
          <w:p>
            <w:pPr>
              <w:spacing w:after="0"/>
              <w:rPr>
                <w:sz w:val="20"/>
                <w:szCs w:val="20"/>
                <w:color w:val="auto"/>
              </w:rPr>
            </w:pPr>
            <w:r>
              <w:rPr>
                <w:rFonts w:ascii="Arial" w:cs="Arial" w:eastAsia="Arial" w:hAnsi="Arial"/>
                <w:sz w:val="18"/>
                <w:szCs w:val="18"/>
                <w:color w:val="auto"/>
              </w:rPr>
              <w:t>1.500% notes due 2019</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313"/>
        </w:trPr>
        <w:tc>
          <w:tcPr>
            <w:tcW w:w="6200" w:type="dxa"/>
            <w:vAlign w:val="bottom"/>
          </w:tcPr>
          <w:p>
            <w:pPr>
              <w:spacing w:after="0"/>
              <w:rPr>
                <w:sz w:val="20"/>
                <w:szCs w:val="20"/>
                <w:color w:val="auto"/>
              </w:rPr>
            </w:pPr>
            <w:r>
              <w:rPr>
                <w:rFonts w:ascii="Arial" w:cs="Arial" w:eastAsia="Arial" w:hAnsi="Arial"/>
                <w:sz w:val="18"/>
                <w:szCs w:val="18"/>
                <w:color w:val="auto"/>
              </w:rPr>
              <w:t>1.950% notes</w:t>
            </w:r>
            <w:r>
              <w:rPr>
                <w:rFonts w:ascii="Arial" w:cs="Arial" w:eastAsia="Arial" w:hAnsi="Arial"/>
                <w:sz w:val="23"/>
                <w:szCs w:val="23"/>
                <w:color w:val="auto"/>
                <w:vertAlign w:val="superscript"/>
              </w:rPr>
              <w:t>1</w:t>
            </w:r>
          </w:p>
        </w:tc>
        <w:tc>
          <w:tcPr>
            <w:tcW w:w="9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6200" w:type="dxa"/>
            <w:vAlign w:val="bottom"/>
          </w:tcPr>
          <w:p>
            <w:pPr>
              <w:spacing w:after="0"/>
              <w:rPr>
                <w:sz w:val="24"/>
                <w:szCs w:val="24"/>
                <w:color w:val="auto"/>
              </w:rPr>
            </w:pP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339"/>
        </w:trPr>
        <w:tc>
          <w:tcPr>
            <w:tcW w:w="6200" w:type="dxa"/>
            <w:vAlign w:val="bottom"/>
          </w:tcPr>
          <w:p>
            <w:pPr>
              <w:spacing w:after="0"/>
              <w:rPr>
                <w:sz w:val="20"/>
                <w:szCs w:val="20"/>
                <w:color w:val="auto"/>
              </w:rPr>
            </w:pPr>
            <w:r>
              <w:rPr>
                <w:rFonts w:ascii="Arial" w:cs="Arial" w:eastAsia="Arial" w:hAnsi="Arial"/>
                <w:sz w:val="18"/>
                <w:szCs w:val="18"/>
                <w:color w:val="auto"/>
              </w:rPr>
              <w:t>5.250% notes</w:t>
            </w:r>
            <w:r>
              <w:rPr>
                <w:rFonts w:ascii="Arial" w:cs="Arial" w:eastAsia="Arial" w:hAnsi="Arial"/>
                <w:sz w:val="23"/>
                <w:szCs w:val="23"/>
                <w:color w:val="auto"/>
                <w:vertAlign w:val="superscript"/>
              </w:rPr>
              <w:t>1</w:t>
            </w:r>
          </w:p>
        </w:tc>
        <w:tc>
          <w:tcPr>
            <w:tcW w:w="960" w:type="dxa"/>
            <w:vAlign w:val="bottom"/>
            <w:vMerge w:val="restart"/>
          </w:tcPr>
          <w:p>
            <w:pPr>
              <w:jc w:val="right"/>
              <w:ind w:right="750"/>
              <w:spacing w:after="0"/>
              <w:rPr>
                <w:sz w:val="20"/>
                <w:szCs w:val="20"/>
                <w:color w:val="auto"/>
              </w:rPr>
            </w:pPr>
            <w:r>
              <w:rPr>
                <w:rFonts w:ascii="Arial" w:cs="Arial" w:eastAsia="Arial" w:hAnsi="Arial"/>
                <w:sz w:val="18"/>
                <w:szCs w:val="18"/>
                <w:color w:val="auto"/>
                <w:w w:val="99"/>
              </w:rPr>
              <w:t>$</w:t>
            </w:r>
          </w:p>
        </w:tc>
        <w:tc>
          <w:tcPr>
            <w:tcW w:w="1480" w:type="dxa"/>
            <w:vAlign w:val="bottom"/>
            <w:vMerge w:val="restart"/>
          </w:tcPr>
          <w:p>
            <w:pPr>
              <w:jc w:val="right"/>
              <w:ind w:right="7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134"/>
        </w:trPr>
        <w:tc>
          <w:tcPr>
            <w:tcW w:w="62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00" w:type="dxa"/>
            <w:vAlign w:val="bottom"/>
          </w:tcPr>
          <w:p>
            <w:pPr>
              <w:spacing w:after="0"/>
              <w:rPr>
                <w:sz w:val="20"/>
                <w:szCs w:val="20"/>
                <w:color w:val="auto"/>
              </w:rPr>
            </w:pP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-1645285</wp:posOffset>
            </wp:positionH>
            <wp:positionV relativeFrom="paragraph">
              <wp:posOffset>-4053840</wp:posOffset>
            </wp:positionV>
            <wp:extent cx="713232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-3710940</wp:posOffset>
            </wp:positionV>
            <wp:extent cx="713232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-3368040</wp:posOffset>
            </wp:positionV>
            <wp:extent cx="713232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-3025140</wp:posOffset>
            </wp:positionV>
            <wp:extent cx="713232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-2682240</wp:posOffset>
            </wp:positionV>
            <wp:extent cx="7132320"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-2339340</wp:posOffset>
            </wp:positionV>
            <wp:extent cx="713232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-1996440</wp:posOffset>
            </wp:positionV>
            <wp:extent cx="713232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-1628140</wp:posOffset>
            </wp:positionV>
            <wp:extent cx="7132320" cy="1885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-1268095</wp:posOffset>
            </wp:positionV>
            <wp:extent cx="713232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-925195</wp:posOffset>
            </wp:positionV>
            <wp:extent cx="7132320" cy="4114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-213995</wp:posOffset>
            </wp:positionV>
            <wp:extent cx="7132320" cy="1968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9" w:lineRule="exact"/>
        <w:rPr>
          <w:sz w:val="20"/>
          <w:szCs w:val="20"/>
          <w:color w:val="auto"/>
        </w:rPr>
      </w:pPr>
    </w:p>
    <w:p>
      <w:pPr>
        <w:sectPr>
          <w:pgSz w:w="11900" w:h="16838" w:orient="portrait"/>
          <w:cols w:equalWidth="0" w:num="2">
            <w:col w:w="1880" w:space="720"/>
            <w:col w:w="8640"/>
          </w:cols>
          <w:pgMar w:left="320" w:top="1440" w:right="339" w:bottom="1440" w:gutter="0" w:footer="0" w:header="0"/>
          <w:type w:val="continuous"/>
        </w:sectPr>
      </w:pPr>
    </w:p>
    <w:p>
      <w:pPr>
        <w:spacing w:after="0"/>
        <w:rPr>
          <w:sz w:val="20"/>
          <w:szCs w:val="20"/>
          <w:color w:val="auto"/>
        </w:rPr>
      </w:pPr>
      <w:r>
        <w:rPr>
          <w:rFonts w:ascii="Arial" w:cs="Arial" w:eastAsia="Arial" w:hAnsi="Arial"/>
          <w:sz w:val="14"/>
          <w:szCs w:val="14"/>
          <w:color w:val="auto"/>
        </w:rPr>
        <w:t>1 The notes and term loan were acquired in connection with the Rockwell Collins acquisition and have been subsequently repaid.</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2 Extinguishment of Raytheon Technologies short term and long term debt in order to achieve the net indebtedness required by the merger agreement with Raytheon</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3 In connection with the early repayment of outstanding principal, Raytheon Technologies paid approximately $660 million of debt extinguishment costs.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Financial Condition, Post Separation Transactions, Distributions and Raytheon Merger</w:t>
      </w:r>
    </w:p>
    <w:p>
      <w:pPr>
        <w:spacing w:after="0" w:line="121" w:lineRule="exact"/>
        <w:rPr>
          <w:sz w:val="20"/>
          <w:szCs w:val="20"/>
          <w:color w:val="auto"/>
        </w:rPr>
      </w:pPr>
    </w:p>
    <w:p>
      <w:pPr>
        <w:ind w:right="20" w:firstLine="567"/>
        <w:spacing w:after="0" w:line="255" w:lineRule="auto"/>
        <w:rPr>
          <w:sz w:val="20"/>
          <w:szCs w:val="20"/>
          <w:color w:val="auto"/>
        </w:rPr>
      </w:pPr>
      <w:r>
        <w:rPr>
          <w:rFonts w:ascii="Arial" w:cs="Arial" w:eastAsia="Arial" w:hAnsi="Arial"/>
          <w:sz w:val="17"/>
          <w:szCs w:val="17"/>
          <w:color w:val="auto"/>
        </w:rPr>
        <w:t>As discussed in the “Business Overview section of MD&amp;A,” the COVID-19 pandemic has negatively affected the U.S. and global economy, disrupted global supply chains and financial markets, and resulted in significant travel restrictions, including mandated facility closures and shelter-in-place orders in numerous jurisdictions around the world. In response, we have begun taking actions to preserve capital and protect the long-term needs of our business, including cutting discretionary spending, significantly reducing capital expenditures and research and development spend, deferring merit increases, freezing non-essential hiring, repositioning employees to defense work, and furloughing a large percentage of our employees. We will monitor the environment closely and are prepared to take further actions if necessary. Although our business will be significantly impacted, we currently believe we have sufficient liquidity to withstand the potential impacts.</w:t>
      </w:r>
    </w:p>
    <w:p>
      <w:pPr>
        <w:spacing w:after="0" w:line="72" w:lineRule="exact"/>
        <w:rPr>
          <w:sz w:val="20"/>
          <w:szCs w:val="20"/>
          <w:color w:val="auto"/>
        </w:rPr>
      </w:pPr>
    </w:p>
    <w:p>
      <w:pPr>
        <w:ind w:right="180" w:firstLine="567"/>
        <w:spacing w:after="0" w:line="248" w:lineRule="auto"/>
        <w:rPr>
          <w:sz w:val="20"/>
          <w:szCs w:val="20"/>
          <w:color w:val="auto"/>
        </w:rPr>
      </w:pPr>
      <w:r>
        <w:rPr>
          <w:rFonts w:ascii="Arial" w:cs="Arial" w:eastAsia="Arial" w:hAnsi="Arial"/>
          <w:sz w:val="18"/>
          <w:szCs w:val="18"/>
          <w:color w:val="auto"/>
        </w:rPr>
        <w:t>On April 3, 2020, we completed the Separation Transactions, the Distributions and the Raytheon Merger, as described in further detail in the Business Overview. The liquidity of the newly formed Raytheon Technologies Corporation will change substantially from that which was presented as of March 31, 2020 due to the Separation Transactions, the Distributions and the Raytheon Merger.</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80" w:type="dxa"/>
            <w:vAlign w:val="bottom"/>
            <w:vMerge w:val="restart"/>
          </w:tcPr>
          <w:p>
            <w:pPr>
              <w:spacing w:after="0"/>
              <w:rPr>
                <w:sz w:val="14"/>
                <w:szCs w:val="14"/>
                <w:color w:val="auto"/>
              </w:rPr>
            </w:pPr>
          </w:p>
        </w:tc>
        <w:tc>
          <w:tcPr>
            <w:tcW w:w="160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Raytheon Technologies</w:t>
            </w:r>
          </w:p>
        </w:tc>
        <w:tc>
          <w:tcPr>
            <w:tcW w:w="1700" w:type="dxa"/>
            <w:vAlign w:val="bottom"/>
            <w:gridSpan w:val="9"/>
          </w:tcPr>
          <w:p>
            <w:pPr>
              <w:jc w:val="center"/>
              <w:ind w:right="80"/>
              <w:spacing w:after="0"/>
              <w:rPr>
                <w:sz w:val="20"/>
                <w:szCs w:val="20"/>
                <w:color w:val="auto"/>
              </w:rPr>
            </w:pPr>
            <w:r>
              <w:rPr>
                <w:rFonts w:ascii="Arial" w:cs="Arial" w:eastAsia="Arial" w:hAnsi="Arial"/>
                <w:sz w:val="14"/>
                <w:szCs w:val="14"/>
                <w:b w:val="1"/>
                <w:bCs w:val="1"/>
                <w:color w:val="auto"/>
                <w:w w:val="91"/>
              </w:rPr>
              <w:t>Separation Transactions</w:t>
            </w:r>
          </w:p>
        </w:tc>
        <w:tc>
          <w:tcPr>
            <w:tcW w:w="120" w:type="dxa"/>
            <w:vAlign w:val="bottom"/>
          </w:tcPr>
          <w:p>
            <w:pPr>
              <w:spacing w:after="0"/>
              <w:rPr>
                <w:sz w:val="14"/>
                <w:szCs w:val="14"/>
                <w:color w:val="auto"/>
              </w:rPr>
            </w:pPr>
          </w:p>
        </w:tc>
        <w:tc>
          <w:tcPr>
            <w:tcW w:w="1540" w:type="dxa"/>
            <w:vAlign w:val="bottom"/>
            <w:gridSpan w:val="7"/>
          </w:tcPr>
          <w:p>
            <w:pPr>
              <w:spacing w:after="0"/>
              <w:rPr>
                <w:sz w:val="20"/>
                <w:szCs w:val="20"/>
                <w:color w:val="auto"/>
              </w:rPr>
            </w:pPr>
            <w:r>
              <w:rPr>
                <w:rFonts w:ascii="Arial" w:cs="Arial" w:eastAsia="Arial" w:hAnsi="Arial"/>
                <w:sz w:val="14"/>
                <w:szCs w:val="14"/>
                <w:b w:val="1"/>
                <w:bCs w:val="1"/>
                <w:color w:val="auto"/>
              </w:rPr>
              <w:t>Addition of Raytheon</w:t>
            </w:r>
          </w:p>
        </w:tc>
        <w:tc>
          <w:tcPr>
            <w:tcW w:w="80" w:type="dxa"/>
            <w:vAlign w:val="bottom"/>
          </w:tcPr>
          <w:p>
            <w:pPr>
              <w:spacing w:after="0"/>
              <w:rPr>
                <w:sz w:val="14"/>
                <w:szCs w:val="14"/>
                <w:color w:val="auto"/>
              </w:rPr>
            </w:pPr>
          </w:p>
        </w:tc>
        <w:tc>
          <w:tcPr>
            <w:tcW w:w="1520" w:type="dxa"/>
            <w:vAlign w:val="bottom"/>
            <w:gridSpan w:val="5"/>
            <w:vMerge w:val="restart"/>
          </w:tcPr>
          <w:p>
            <w:pPr>
              <w:spacing w:after="0"/>
              <w:rPr>
                <w:sz w:val="20"/>
                <w:szCs w:val="20"/>
                <w:color w:val="auto"/>
              </w:rPr>
            </w:pPr>
            <w:r>
              <w:rPr>
                <w:rFonts w:ascii="Arial" w:cs="Arial" w:eastAsia="Arial" w:hAnsi="Arial"/>
                <w:sz w:val="14"/>
                <w:szCs w:val="14"/>
                <w:b w:val="1"/>
                <w:bCs w:val="1"/>
                <w:color w:val="auto"/>
                <w:w w:val="94"/>
              </w:rPr>
              <w:t>Raytheon Technologies</w:t>
            </w:r>
          </w:p>
        </w:tc>
        <w:tc>
          <w:tcPr>
            <w:tcW w:w="0" w:type="dxa"/>
            <w:vAlign w:val="bottom"/>
          </w:tcPr>
          <w:p>
            <w:pPr>
              <w:spacing w:after="0"/>
              <w:rPr>
                <w:sz w:val="1"/>
                <w:szCs w:val="1"/>
                <w:color w:val="auto"/>
              </w:rPr>
            </w:pPr>
          </w:p>
        </w:tc>
      </w:tr>
      <w:tr>
        <w:trPr>
          <w:trHeight w:val="128"/>
        </w:trPr>
        <w:tc>
          <w:tcPr>
            <w:tcW w:w="46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80" w:type="dxa"/>
            <w:vAlign w:val="bottom"/>
            <w:vMerge w:val="continue"/>
          </w:tcPr>
          <w:p>
            <w:pPr>
              <w:spacing w:after="0"/>
              <w:rPr>
                <w:sz w:val="11"/>
                <w:szCs w:val="11"/>
                <w:color w:val="auto"/>
              </w:rPr>
            </w:pPr>
          </w:p>
        </w:tc>
        <w:tc>
          <w:tcPr>
            <w:tcW w:w="1600" w:type="dxa"/>
            <w:vAlign w:val="bottom"/>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5"/>
          </w:tcPr>
          <w:p>
            <w:pPr>
              <w:jc w:val="center"/>
              <w:ind w:right="180"/>
              <w:spacing w:after="0" w:line="129" w:lineRule="exact"/>
              <w:rPr>
                <w:sz w:val="20"/>
                <w:szCs w:val="20"/>
                <w:color w:val="auto"/>
              </w:rPr>
            </w:pPr>
            <w:r>
              <w:rPr>
                <w:rFonts w:ascii="Arial" w:cs="Arial" w:eastAsia="Arial" w:hAnsi="Arial"/>
                <w:sz w:val="14"/>
                <w:szCs w:val="14"/>
                <w:b w:val="1"/>
                <w:bCs w:val="1"/>
                <w:color w:val="auto"/>
                <w:w w:val="95"/>
              </w:rPr>
              <w:t>&amp; Distributions</w:t>
            </w:r>
          </w:p>
        </w:tc>
        <w:tc>
          <w:tcPr>
            <w:tcW w:w="16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4"/>
          </w:tcPr>
          <w:p>
            <w:pPr>
              <w:ind w:left="80"/>
              <w:spacing w:after="0" w:line="129" w:lineRule="exact"/>
              <w:rPr>
                <w:sz w:val="20"/>
                <w:szCs w:val="20"/>
                <w:color w:val="auto"/>
              </w:rPr>
            </w:pPr>
            <w:r>
              <w:rPr>
                <w:rFonts w:ascii="Arial" w:cs="Arial" w:eastAsia="Arial" w:hAnsi="Arial"/>
                <w:sz w:val="14"/>
                <w:szCs w:val="14"/>
                <w:b w:val="1"/>
                <w:bCs w:val="1"/>
                <w:color w:val="auto"/>
              </w:rPr>
              <w:t>Company</w:t>
            </w:r>
          </w:p>
        </w:tc>
        <w:tc>
          <w:tcPr>
            <w:tcW w:w="22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60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gridSpan w:val="3"/>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3"/>
          </w:tcPr>
          <w:p>
            <w:pPr>
              <w:jc w:val="right"/>
              <w:ind w:right="220"/>
              <w:spacing w:after="0" w:line="129" w:lineRule="exact"/>
              <w:rPr>
                <w:sz w:val="20"/>
                <w:szCs w:val="20"/>
                <w:color w:val="auto"/>
              </w:rPr>
            </w:pPr>
            <w:r>
              <w:rPr>
                <w:rFonts w:ascii="Arial" w:cs="Arial" w:eastAsia="Arial" w:hAnsi="Arial"/>
                <w:sz w:val="14"/>
                <w:szCs w:val="14"/>
                <w:b w:val="1"/>
                <w:bCs w:val="1"/>
                <w:color w:val="auto"/>
              </w:rPr>
              <w:t>March 31, 2020</w:t>
            </w:r>
          </w:p>
        </w:tc>
        <w:tc>
          <w:tcPr>
            <w:tcW w:w="1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6"/>
              </w:rPr>
              <w:t>April 3, 2020</w:t>
            </w:r>
          </w:p>
        </w:tc>
        <w:tc>
          <w:tcPr>
            <w:tcW w:w="4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200" w:type="dxa"/>
            <w:vAlign w:val="bottom"/>
            <w:gridSpan w:val="5"/>
          </w:tcPr>
          <w:p>
            <w:pPr>
              <w:spacing w:after="0" w:line="129" w:lineRule="exact"/>
              <w:rPr>
                <w:sz w:val="20"/>
                <w:szCs w:val="20"/>
                <w:color w:val="auto"/>
              </w:rPr>
            </w:pPr>
            <w:r>
              <w:rPr>
                <w:rFonts w:ascii="Arial" w:cs="Arial" w:eastAsia="Arial" w:hAnsi="Arial"/>
                <w:sz w:val="14"/>
                <w:szCs w:val="14"/>
                <w:b w:val="1"/>
                <w:bCs w:val="1"/>
                <w:color w:val="auto"/>
              </w:rPr>
              <w:t>April, 3 2020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3"/>
          </w:tcPr>
          <w:p>
            <w:pPr>
              <w:jc w:val="right"/>
              <w:ind w:right="320"/>
              <w:spacing w:after="0" w:line="129" w:lineRule="exact"/>
              <w:rPr>
                <w:sz w:val="20"/>
                <w:szCs w:val="20"/>
                <w:color w:val="auto"/>
              </w:rPr>
            </w:pPr>
            <w:r>
              <w:rPr>
                <w:rFonts w:ascii="Arial" w:cs="Arial" w:eastAsia="Arial" w:hAnsi="Arial"/>
                <w:sz w:val="14"/>
                <w:szCs w:val="14"/>
                <w:b w:val="1"/>
                <w:bCs w:val="1"/>
                <w:color w:val="auto"/>
              </w:rPr>
              <w:t>April 3, 2020</w:t>
            </w:r>
          </w:p>
        </w:tc>
        <w:tc>
          <w:tcPr>
            <w:tcW w:w="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8,001</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(2,756)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3,208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8,453</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46,319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5"/>
          </w:tcPr>
          <w:p>
            <w:pPr>
              <w:jc w:val="right"/>
              <w:ind w:right="40"/>
              <w:spacing w:after="0"/>
              <w:rPr>
                <w:sz w:val="20"/>
                <w:szCs w:val="20"/>
                <w:color w:val="auto"/>
              </w:rPr>
            </w:pPr>
            <w:r>
              <w:rPr>
                <w:rFonts w:ascii="Arial" w:cs="Arial" w:eastAsia="Arial" w:hAnsi="Arial"/>
                <w:sz w:val="18"/>
                <w:szCs w:val="18"/>
                <w:color w:val="auto"/>
              </w:rPr>
              <w:t>(17,606)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5"/>
          </w:tcPr>
          <w:p>
            <w:pPr>
              <w:jc w:val="right"/>
              <w:ind w:right="20"/>
              <w:spacing w:after="0"/>
              <w:rPr>
                <w:sz w:val="20"/>
                <w:szCs w:val="20"/>
                <w:color w:val="auto"/>
              </w:rPr>
            </w:pPr>
            <w:r>
              <w:rPr>
                <w:rFonts w:ascii="Arial" w:cs="Arial" w:eastAsia="Arial" w:hAnsi="Arial"/>
                <w:sz w:val="18"/>
                <w:szCs w:val="18"/>
                <w:color w:val="auto"/>
              </w:rPr>
              <w:t>4,700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gridSpan w:val="2"/>
          </w:tcPr>
          <w:p>
            <w:pPr>
              <w:jc w:val="right"/>
              <w:ind w:right="68"/>
              <w:spacing w:after="0"/>
              <w:rPr>
                <w:sz w:val="20"/>
                <w:szCs w:val="20"/>
                <w:color w:val="auto"/>
              </w:rPr>
            </w:pPr>
            <w:r>
              <w:rPr>
                <w:rFonts w:ascii="Arial" w:cs="Arial" w:eastAsia="Arial" w:hAnsi="Arial"/>
                <w:sz w:val="18"/>
                <w:szCs w:val="18"/>
                <w:b w:val="1"/>
                <w:bCs w:val="1"/>
                <w:color w:val="auto"/>
                <w:w w:val="99"/>
              </w:rPr>
              <w:t>$</w:t>
            </w:r>
          </w:p>
        </w:tc>
        <w:tc>
          <w:tcPr>
            <w:tcW w:w="12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33,413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debt (total debt less cash and cash equivalents)</w:t>
            </w:r>
          </w:p>
        </w:tc>
        <w:tc>
          <w:tcPr>
            <w:tcW w:w="2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w w:val="79"/>
              </w:rPr>
              <w:t>$</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38,318</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3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(14,850)</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1,492</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b w:val="1"/>
                <w:bCs w:val="1"/>
                <w:color w:val="auto"/>
                <w:w w:val="99"/>
              </w:rPr>
              <w:t>$</w:t>
            </w:r>
          </w:p>
        </w:tc>
        <w:tc>
          <w:tcPr>
            <w:tcW w:w="1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24,960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40" w:firstLine="648"/>
        <w:spacing w:after="0" w:line="324" w:lineRule="auto"/>
        <w:rPr>
          <w:sz w:val="20"/>
          <w:szCs w:val="20"/>
          <w:color w:val="auto"/>
        </w:rPr>
      </w:pPr>
      <w:r>
        <w:rPr>
          <w:rFonts w:ascii="Arial" w:cs="Arial" w:eastAsia="Arial" w:hAnsi="Arial"/>
          <w:sz w:val="16"/>
          <w:szCs w:val="16"/>
          <w:color w:val="auto"/>
        </w:rPr>
        <w:t>After the completion of the transactions, on April 3, 2020, our cash increased to approximately $8.5 billion and our total debt decreased to approximately $33.4 billion, which includes long-term debt of $31.6 billion. The $31.6 billion in long-term debt matures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00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56"/>
        </w:trPr>
        <w:tc>
          <w:tcPr>
            <w:tcW w:w="10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1,824</w:t>
            </w:r>
          </w:p>
        </w:tc>
      </w:tr>
      <w:tr>
        <w:trPr>
          <w:trHeight w:val="243"/>
        </w:trPr>
        <w:tc>
          <w:tcPr>
            <w:tcW w:w="10020" w:type="dxa"/>
            <w:vAlign w:val="bottom"/>
          </w:tcPr>
          <w:p>
            <w:pPr>
              <w:ind w:left="20"/>
              <w:spacing w:after="0"/>
              <w:rPr>
                <w:sz w:val="20"/>
                <w:szCs w:val="20"/>
                <w:color w:val="auto"/>
              </w:rPr>
            </w:pPr>
            <w:r>
              <w:rPr>
                <w:rFonts w:ascii="Arial" w:cs="Arial" w:eastAsia="Arial" w:hAnsi="Arial"/>
                <w:sz w:val="18"/>
                <w:szCs w:val="18"/>
                <w:color w:val="auto"/>
              </w:rPr>
              <w:t>2021</w:t>
            </w:r>
          </w:p>
        </w:tc>
        <w:tc>
          <w:tcPr>
            <w:tcW w:w="3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535</w:t>
            </w:r>
          </w:p>
        </w:tc>
      </w:tr>
      <w:tr>
        <w:trPr>
          <w:trHeight w:val="27"/>
        </w:trPr>
        <w:tc>
          <w:tcPr>
            <w:tcW w:w="10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2,200</w:t>
            </w:r>
          </w:p>
        </w:tc>
      </w:tr>
      <w:tr>
        <w:trPr>
          <w:trHeight w:val="243"/>
        </w:trPr>
        <w:tc>
          <w:tcPr>
            <w:tcW w:w="10020" w:type="dxa"/>
            <w:vAlign w:val="bottom"/>
          </w:tcPr>
          <w:p>
            <w:pPr>
              <w:ind w:left="20"/>
              <w:spacing w:after="0"/>
              <w:rPr>
                <w:sz w:val="20"/>
                <w:szCs w:val="20"/>
                <w:color w:val="auto"/>
              </w:rPr>
            </w:pPr>
            <w:r>
              <w:rPr>
                <w:rFonts w:ascii="Arial" w:cs="Arial" w:eastAsia="Arial" w:hAnsi="Arial"/>
                <w:sz w:val="18"/>
                <w:szCs w:val="18"/>
                <w:color w:val="auto"/>
              </w:rPr>
              <w:t>2023</w:t>
            </w:r>
          </w:p>
        </w:tc>
        <w:tc>
          <w:tcPr>
            <w:tcW w:w="3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981</w:t>
            </w:r>
          </w:p>
        </w:tc>
      </w:tr>
      <w:tr>
        <w:trPr>
          <w:trHeight w:val="27"/>
        </w:trPr>
        <w:tc>
          <w:tcPr>
            <w:tcW w:w="10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1,250</w:t>
            </w:r>
          </w:p>
        </w:tc>
      </w:tr>
      <w:tr>
        <w:trPr>
          <w:trHeight w:val="243"/>
        </w:trPr>
        <w:tc>
          <w:tcPr>
            <w:tcW w:w="100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24,858</w:t>
            </w:r>
          </w:p>
        </w:tc>
      </w:tr>
      <w:tr>
        <w:trPr>
          <w:trHeight w:val="27"/>
        </w:trPr>
        <w:tc>
          <w:tcPr>
            <w:tcW w:w="10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8"/>
        </w:trPr>
        <w:tc>
          <w:tcPr>
            <w:tcW w:w="10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31,648</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 w:firstLine="648"/>
        <w:spacing w:after="0" w:line="253" w:lineRule="auto"/>
        <w:rPr>
          <w:sz w:val="20"/>
          <w:szCs w:val="20"/>
          <w:color w:val="auto"/>
        </w:rPr>
      </w:pPr>
      <w:r>
        <w:rPr>
          <w:rFonts w:ascii="Arial" w:cs="Arial" w:eastAsia="Arial" w:hAnsi="Arial"/>
          <w:sz w:val="17"/>
          <w:szCs w:val="17"/>
          <w:color w:val="auto"/>
        </w:rPr>
        <w:t>Post the Separation Transactions, the Distributions and the Raytheon Merger, factors that will affect our overall management of liquidity will continue to be operating cash flows, capital expenditures, customer financing requirements, dividends, common stock repurchases, pension funding, access to the commercial paper markets, adequacy of available bank lines of credit, redemptions of debt, and the ability to attract long-term capital at satisfactory terms. Operating cash flows will continue to be the Raytheon Technologies’ main source of liquidity. Upon the completion of the Raytheon Merger we have over $8.0 billion of cash on hand and access to a $5.0 billion revolving credit agreement. Our current debt maturities are approximately $3.5 billion. Additionally, on May 6, 2020, we entered into a revolving credit agreement with various banks permitting aggregate borrowings of up to $2.0 billion. This credit agreement matures on May 5, 2021. On April 28, 2020, we repaid $500 million borrowed under the term loan credit agreement entered into on March 23, 2020. On May 5, 2020, we repaid $500 million borrowed under the term loan credit agreement entered into on March 20, 2020. We expect to refinance current debt maturities during the second quarter of 2020 to mitigate potential refinancing risks later in the year. We believe that we have access to sufficient sources of liquidity in the near term to meet all of our commitments.</w:t>
      </w:r>
    </w:p>
    <w:p>
      <w:pPr>
        <w:spacing w:after="0" w:line="72" w:lineRule="exact"/>
        <w:rPr>
          <w:sz w:val="20"/>
          <w:szCs w:val="20"/>
          <w:color w:val="auto"/>
        </w:rPr>
      </w:pPr>
    </w:p>
    <w:p>
      <w:pPr>
        <w:ind w:right="600" w:firstLine="648"/>
        <w:spacing w:after="0" w:line="261" w:lineRule="auto"/>
        <w:rPr>
          <w:sz w:val="20"/>
          <w:szCs w:val="20"/>
          <w:color w:val="auto"/>
        </w:rPr>
      </w:pPr>
      <w:r>
        <w:rPr>
          <w:rFonts w:ascii="Arial" w:cs="Arial" w:eastAsia="Arial" w:hAnsi="Arial"/>
          <w:sz w:val="18"/>
          <w:szCs w:val="18"/>
          <w:color w:val="auto"/>
        </w:rPr>
        <w:t>We expect to make total contributions of approximately $275 million to our qualified pension plans in 2020. Contributions to our qualified pension plans in 2020 are expected to meet or exceed the current funding requirements.</w:t>
      </w:r>
    </w:p>
    <w:p>
      <w:pPr>
        <w:spacing w:after="0" w:line="63" w:lineRule="exact"/>
        <w:rPr>
          <w:sz w:val="20"/>
          <w:szCs w:val="20"/>
          <w:color w:val="auto"/>
        </w:rPr>
      </w:pPr>
    </w:p>
    <w:p>
      <w:pPr>
        <w:ind w:right="240" w:firstLine="567"/>
        <w:spacing w:after="0" w:line="263" w:lineRule="auto"/>
        <w:rPr>
          <w:sz w:val="20"/>
          <w:szCs w:val="20"/>
          <w:color w:val="auto"/>
        </w:rPr>
      </w:pPr>
      <w:r>
        <w:rPr>
          <w:rFonts w:ascii="Arial" w:cs="Arial" w:eastAsia="Arial" w:hAnsi="Arial"/>
          <w:sz w:val="18"/>
          <w:szCs w:val="18"/>
          <w:color w:val="auto"/>
        </w:rPr>
        <w:t>We believe our future operating cash flows will be sufficient to meet our future operating cash needs. Further, we continue to have access to the commercial paper markets and our existing credit facilities, and our ability to obtain debt or equity financing, as well as the availability under committed credit lines, provides additional potential sources of liquidity should they be required or appropriate.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Cash Flow - Operating Activities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240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Quarter Ended March 31,</w:t>
            </w:r>
          </w:p>
        </w:tc>
        <w:tc>
          <w:tcPr>
            <w:tcW w:w="580" w:type="dxa"/>
            <w:vAlign w:val="bottom"/>
            <w:tcBorders>
              <w:bottom w:val="single" w:sz="8" w:color="auto"/>
            </w:tcBorders>
          </w:tcPr>
          <w:p>
            <w:pPr>
              <w:spacing w:after="0"/>
              <w:rPr>
                <w:sz w:val="16"/>
                <w:szCs w:val="16"/>
                <w:color w:val="auto"/>
              </w:rPr>
            </w:pPr>
          </w:p>
        </w:tc>
      </w:tr>
      <w:tr>
        <w:trPr>
          <w:trHeight w:val="19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7"/>
                <w:szCs w:val="17"/>
                <w:color w:val="auto"/>
              </w:rPr>
            </w:pPr>
          </w:p>
        </w:tc>
      </w:tr>
      <w:tr>
        <w:trPr>
          <w:trHeight w:val="294"/>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flows provided by operating activities</w:t>
            </w: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88"/>
              </w:rPr>
              <w:t>1,500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567"/>
        <w:spacing w:after="0" w:line="274" w:lineRule="auto"/>
        <w:rPr>
          <w:sz w:val="20"/>
          <w:szCs w:val="20"/>
          <w:color w:val="auto"/>
        </w:rPr>
      </w:pPr>
      <w:r>
        <w:rPr>
          <w:rFonts w:ascii="Arial" w:cs="Arial" w:eastAsia="Arial" w:hAnsi="Arial"/>
          <w:sz w:val="16"/>
          <w:szCs w:val="16"/>
          <w:color w:val="auto"/>
        </w:rPr>
        <w:t>Cash generated from operating activities in the quarter ended March 31, 2020 was $839 million lower than the same period in 2019 primarily driven by the decrease in Net income from operations and working capital. Cash outflows from working capital increased $442 million in the quarter ended March 31, 2020 over the prior period. Factoring activity resulted in an increase of approximately $1.5 billion in cash generated from operating activities for the quarter ended March 31, 2020, as compared to the prior year. This increase was primarily driven by an increase in factoring levels at Pratt &amp; Whitney and Collins Aerospace Systems. Factoring activity does not reflect the factoring of certain receivables performed at customer request for which we are compensated by the customer for the extended collection cycle. Including these receivables, factoring activity resulted in an increase of approximately $532 million in cash generated from operating activities for the quarter ended March 31, 2020, as compared to the prior year.</w:t>
      </w:r>
    </w:p>
    <w:p>
      <w:pPr>
        <w:spacing w:after="0" w:line="55" w:lineRule="exact"/>
        <w:rPr>
          <w:sz w:val="20"/>
          <w:szCs w:val="20"/>
          <w:color w:val="auto"/>
        </w:rPr>
      </w:pPr>
    </w:p>
    <w:p>
      <w:pPr>
        <w:jc w:val="both"/>
        <w:ind w:right="600" w:firstLine="567"/>
        <w:spacing w:after="0" w:line="248" w:lineRule="auto"/>
        <w:rPr>
          <w:sz w:val="20"/>
          <w:szCs w:val="20"/>
          <w:color w:val="auto"/>
        </w:rPr>
      </w:pPr>
      <w:r>
        <w:rPr>
          <w:rFonts w:ascii="Arial" w:cs="Arial" w:eastAsia="Arial" w:hAnsi="Arial"/>
          <w:sz w:val="18"/>
          <w:szCs w:val="18"/>
          <w:color w:val="auto"/>
        </w:rPr>
        <w:t>In the quarter ended March 31, 2020, cash outflows from working capital were $887 million. Inventory increased $707 million driven by an increase at Carrier to support seasonal build, at Pratt &amp; Whitney driven by an increase in production engines across multiple programs, aftermarket services, and disruptions related to COVID-19 and at Collins Aerospace Systems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49" w:name="page50"/>
    <w:bookmarkEnd w:id="49"/>
    <w:p>
      <w:pPr>
        <w:ind w:right="100"/>
        <w:spacing w:after="0" w:line="274" w:lineRule="auto"/>
        <w:rPr>
          <w:sz w:val="20"/>
          <w:szCs w:val="20"/>
          <w:color w:val="auto"/>
        </w:rPr>
      </w:pPr>
      <w:r>
        <w:rPr>
          <w:rFonts w:ascii="Arial" w:cs="Arial" w:eastAsia="Arial" w:hAnsi="Arial"/>
          <w:sz w:val="16"/>
          <w:szCs w:val="16"/>
          <w:color w:val="auto"/>
        </w:rPr>
        <w:t>due to disruptions related to COVID-19. Contract assets, current increased $220 million primarily due to work performed in excess of billings at Pratt &amp; Whitney. Other current assets increased $191 million due to increases in prepaid expenses. Accounts payable and other accruals decreased $318 million primarily due to portfolio separation payments, incentive compensation payments, and a reduction in payables at Otis which was partially offset by increases in Accounts payable at Carrier, Pratt &amp; Whitney and Collins Aerospace Systems corresponding to inventory build and timing of disbursements. These outflows were partially offset by increases in Contract liabilities, current of $353 million and decreases in Accounts receivable of $196 million. The increase in Contract liabilities, current is driven by timing of billings at Otis. The decrease in Accounts receivable is primarily driven by Pratt &amp; Whitney due to increased collections and higher factoring activity, partially offset by an increase at Otis due to timing of billing.</w:t>
      </w:r>
    </w:p>
    <w:p>
      <w:pPr>
        <w:spacing w:after="0" w:line="55" w:lineRule="exact"/>
        <w:rPr>
          <w:sz w:val="20"/>
          <w:szCs w:val="20"/>
          <w:color w:val="auto"/>
        </w:rPr>
      </w:pPr>
    </w:p>
    <w:p>
      <w:pPr>
        <w:ind w:right="60" w:firstLine="360"/>
        <w:spacing w:after="0" w:line="254" w:lineRule="auto"/>
        <w:rPr>
          <w:sz w:val="20"/>
          <w:szCs w:val="20"/>
          <w:color w:val="auto"/>
        </w:rPr>
      </w:pPr>
      <w:r>
        <w:rPr>
          <w:rFonts w:ascii="Arial" w:cs="Arial" w:eastAsia="Arial" w:hAnsi="Arial"/>
          <w:sz w:val="18"/>
          <w:szCs w:val="18"/>
          <w:color w:val="auto"/>
        </w:rPr>
        <w:t>In the quarter ended March 31, 2019, cash outflows from working capital were $445 million. Contract assets, current increased $215 million due to work performed in excess of billings at Collins Aerospace Systems, Pratt &amp; Whitney, and Carrier. Inventory increased $697 million primarily driven by an increase in production work in process for the Geared Turbo Fan at Pratt &amp; Whitney, seasonal build in the HVAC businesses at Carrier, and increases at Collins Aerospace Systems. Other assets increased $165 million due to an increase in prepaid expense. Accounts payable and accrued liabilities decreased $588 million primarily due to higher collaborator share payments at Pratt &amp; Whitney. These outflows were partially offset by decreases in Accounts receivable of $849 million primarily due to improved collections at Pratt &amp; Whitney and increases in Contract liabilities, current of $371 million driven by seasonality of billings at Otis.</w:t>
      </w:r>
    </w:p>
    <w:p>
      <w:pPr>
        <w:spacing w:after="0" w:line="87" w:lineRule="exact"/>
        <w:rPr>
          <w:sz w:val="20"/>
          <w:szCs w:val="20"/>
          <w:color w:val="auto"/>
        </w:rPr>
      </w:pPr>
    </w:p>
    <w:p>
      <w:pPr>
        <w:ind w:right="220" w:firstLine="567"/>
        <w:spacing w:after="0" w:line="277" w:lineRule="auto"/>
        <w:rPr>
          <w:sz w:val="20"/>
          <w:szCs w:val="20"/>
          <w:color w:val="auto"/>
        </w:rPr>
      </w:pPr>
      <w:r>
        <w:rPr>
          <w:rFonts w:ascii="Arial" w:cs="Arial" w:eastAsia="Arial" w:hAnsi="Arial"/>
          <w:sz w:val="18"/>
          <w:szCs w:val="18"/>
          <w:color w:val="auto"/>
        </w:rPr>
        <w:t>Total cash contributions to our global defined benefit pension plans during the quarters ended March 31, 2020 and 2019 were approximately $39 million and $32 million, respectively.</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u w:val="single" w:color="auto"/>
          <w:color w:val="auto"/>
        </w:rPr>
        <w:t>Cash Flow - Investing Activities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4"/>
                <w:szCs w:val="14"/>
                <w:b w:val="1"/>
                <w:bCs w:val="1"/>
                <w:color w:val="auto"/>
              </w:rPr>
              <w:t>Quarter Ended March 31,</w:t>
            </w:r>
          </w:p>
        </w:tc>
      </w:tr>
      <w:tr>
        <w:trPr>
          <w:trHeight w:val="19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r>
      <w:tr>
        <w:trPr>
          <w:trHeight w:val="295"/>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flows used in investing activities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(1,283)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(394)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color w:val="auto"/>
        </w:rPr>
        <w:t>Cash flows used in investing activities for the quarters ended March 31, 2020 and 2019 primarily reflect capital expenditures, cash investments in customer financing assets, investments/dispositions of businesses, payments related to our collaboration intangible assets and contractual rights to provide product on new aircraft platforms, and settlements of derivative contracts. The $889 million increase in cash flows used in investing activities in the quarter ended March 31, 2020 compared to March 31, 2019 primarily relates to an increase in payments resulting from settlements of derivative contracts of $731 million, and the absence of small divestitures of $133 million.</w:t>
      </w:r>
    </w:p>
    <w:p>
      <w:pPr>
        <w:spacing w:after="0" w:line="80" w:lineRule="exact"/>
        <w:rPr>
          <w:sz w:val="20"/>
          <w:szCs w:val="20"/>
          <w:color w:val="auto"/>
        </w:rPr>
      </w:pPr>
    </w:p>
    <w:p>
      <w:pPr>
        <w:ind w:right="260" w:firstLine="567"/>
        <w:spacing w:after="0" w:line="277" w:lineRule="auto"/>
        <w:rPr>
          <w:sz w:val="20"/>
          <w:szCs w:val="20"/>
          <w:color w:val="auto"/>
        </w:rPr>
      </w:pPr>
      <w:r>
        <w:rPr>
          <w:rFonts w:ascii="Arial" w:cs="Arial" w:eastAsia="Arial" w:hAnsi="Arial"/>
          <w:sz w:val="18"/>
          <w:szCs w:val="18"/>
          <w:color w:val="auto"/>
        </w:rPr>
        <w:t>Capital expenditures for the quarter ended March 31, 2020 of $412 million primarily relate to several projects at Collins Aerospace Systems and investments in production and aftermarket capacity at Pratt &amp; Whitney.</w:t>
      </w:r>
    </w:p>
    <w:p>
      <w:pPr>
        <w:spacing w:after="0" w:line="62" w:lineRule="exact"/>
        <w:rPr>
          <w:sz w:val="20"/>
          <w:szCs w:val="20"/>
          <w:color w:val="auto"/>
        </w:rPr>
      </w:pPr>
    </w:p>
    <w:p>
      <w:pPr>
        <w:ind w:right="220" w:firstLine="567"/>
        <w:spacing w:after="0" w:line="277" w:lineRule="auto"/>
        <w:rPr>
          <w:sz w:val="20"/>
          <w:szCs w:val="20"/>
          <w:color w:val="auto"/>
        </w:rPr>
      </w:pPr>
      <w:r>
        <w:rPr>
          <w:rFonts w:ascii="Arial" w:cs="Arial" w:eastAsia="Arial" w:hAnsi="Arial"/>
          <w:sz w:val="18"/>
          <w:szCs w:val="18"/>
          <w:color w:val="auto"/>
        </w:rPr>
        <w:t>Cash investments in businesses in the quarter ended March 31, 2020 of $5 million. There were no dispositions of businesses in the quarter ended March 31, 2020.</w:t>
      </w:r>
    </w:p>
    <w:p>
      <w:pPr>
        <w:spacing w:after="0" w:line="62" w:lineRule="exact"/>
        <w:rPr>
          <w:sz w:val="20"/>
          <w:szCs w:val="20"/>
          <w:color w:val="auto"/>
        </w:rPr>
      </w:pPr>
    </w:p>
    <w:p>
      <w:pPr>
        <w:ind w:right="40" w:firstLine="567"/>
        <w:spacing w:after="0" w:line="257" w:lineRule="auto"/>
        <w:rPr>
          <w:sz w:val="20"/>
          <w:szCs w:val="20"/>
          <w:color w:val="auto"/>
        </w:rPr>
      </w:pPr>
      <w:r>
        <w:rPr>
          <w:rFonts w:ascii="Arial" w:cs="Arial" w:eastAsia="Arial" w:hAnsi="Arial"/>
          <w:sz w:val="18"/>
          <w:szCs w:val="18"/>
          <w:color w:val="auto"/>
        </w:rPr>
        <w:t>Customer financing activities in the quarter ended March 31, 2020 were a net use of cash of $88 million, primarily driven by additional Geared Turbofan engines to support customer fleets. We had commercial aerospace financing and other contractual commitments of approximately $14.8 billion at March 31, 2020 related to commercial aircraft and certain contractual rights to provide product on new aircraft platforms, of which up to $1.2 billion may be required to be disbursed during the remainder of 2020. We had commercial aerospace financing and other contractual commitments of approximately $15.0 billion at December 31, 2019.</w:t>
      </w:r>
    </w:p>
    <w:p>
      <w:pPr>
        <w:spacing w:after="0" w:line="80" w:lineRule="exact"/>
        <w:rPr>
          <w:sz w:val="20"/>
          <w:szCs w:val="20"/>
          <w:color w:val="auto"/>
        </w:rPr>
      </w:pPr>
    </w:p>
    <w:p>
      <w:pPr>
        <w:ind w:right="240" w:firstLine="567"/>
        <w:spacing w:after="0" w:line="277" w:lineRule="auto"/>
        <w:rPr>
          <w:sz w:val="20"/>
          <w:szCs w:val="20"/>
          <w:color w:val="auto"/>
        </w:rPr>
      </w:pPr>
      <w:r>
        <w:rPr>
          <w:rFonts w:ascii="Arial" w:cs="Arial" w:eastAsia="Arial" w:hAnsi="Arial"/>
          <w:sz w:val="18"/>
          <w:szCs w:val="18"/>
          <w:color w:val="auto"/>
        </w:rPr>
        <w:t>During the quarter ended March 31, 2020, our collaboration intangible assets increased by approximately $78 million, which primarily relates to payments made under our 2012 agreement to acquire Rolls-Royce's collaboration interest in IAE.</w:t>
      </w:r>
    </w:p>
    <w:p>
      <w:pPr>
        <w:spacing w:after="0" w:line="62" w:lineRule="exact"/>
        <w:rPr>
          <w:sz w:val="20"/>
          <w:szCs w:val="20"/>
          <w:color w:val="auto"/>
        </w:rPr>
      </w:pPr>
    </w:p>
    <w:p>
      <w:pPr>
        <w:ind w:firstLine="526"/>
        <w:spacing w:after="0" w:line="254" w:lineRule="auto"/>
        <w:rPr>
          <w:sz w:val="20"/>
          <w:szCs w:val="20"/>
          <w:color w:val="auto"/>
        </w:rPr>
      </w:pPr>
      <w:r>
        <w:rPr>
          <w:rFonts w:ascii="Arial" w:cs="Arial" w:eastAsia="Arial" w:hAnsi="Arial"/>
          <w:sz w:val="18"/>
          <w:szCs w:val="18"/>
          <w:color w:val="auto"/>
        </w:rPr>
        <w:t>As discussed in Note 10 to the Condensed Consolidated Financial Statements, we enter into derivative instruments for risk management purposes only, including derivatives designated as hedging instruments under the Derivatives and Hedging Topic of the FASB ASC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 The settlement of these derivative instruments resulted in a net cash outflow of approximately $639 million during the quarter ended March 31, 2020 compared to a net cash inflow of $92 million during the quarter ended March 31, 2019.</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Cash Flow - Financing Activities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2980" w:type="dxa"/>
            <w:vAlign w:val="bottom"/>
            <w:tcBorders>
              <w:bottom w:val="single" w:sz="8" w:color="auto"/>
            </w:tcBorders>
            <w:gridSpan w:val="5"/>
          </w:tcPr>
          <w:p>
            <w:pPr>
              <w:jc w:val="right"/>
              <w:ind w:right="599"/>
              <w:spacing w:after="0"/>
              <w:rPr>
                <w:sz w:val="20"/>
                <w:szCs w:val="20"/>
                <w:color w:val="auto"/>
              </w:rPr>
            </w:pPr>
            <w:r>
              <w:rPr>
                <w:rFonts w:ascii="Arial" w:cs="Arial" w:eastAsia="Arial" w:hAnsi="Arial"/>
                <w:sz w:val="14"/>
                <w:szCs w:val="14"/>
                <w:b w:val="1"/>
                <w:bCs w:val="1"/>
                <w:color w:val="auto"/>
              </w:rPr>
              <w:t>Quarter Ended March 31,</w:t>
            </w:r>
          </w:p>
        </w:tc>
      </w:tr>
      <w:tr>
        <w:trPr>
          <w:trHeight w:val="19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r>
      <w:tr>
        <w:trPr>
          <w:trHeight w:val="295"/>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flows provided by (used in) financing activities</w:t>
            </w:r>
          </w:p>
        </w:tc>
        <w:tc>
          <w:tcPr>
            <w:tcW w:w="860" w:type="dxa"/>
            <w:vAlign w:val="bottom"/>
            <w:tcBorders>
              <w:bottom w:val="single" w:sz="8" w:color="auto"/>
            </w:tcBorders>
            <w:shd w:val="clear" w:color="auto" w:fill="CCEEFF"/>
          </w:tcPr>
          <w:p>
            <w:pPr>
              <w:jc w:val="right"/>
              <w:ind w:right="662"/>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88"/>
              </w:rPr>
              <w:t>1,362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(1,077)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567"/>
        <w:spacing w:after="0" w:line="291" w:lineRule="auto"/>
        <w:rPr>
          <w:sz w:val="20"/>
          <w:szCs w:val="20"/>
          <w:color w:val="auto"/>
        </w:rPr>
      </w:pPr>
      <w:r>
        <w:rPr>
          <w:rFonts w:ascii="Arial" w:cs="Arial" w:eastAsia="Arial" w:hAnsi="Arial"/>
          <w:sz w:val="16"/>
          <w:szCs w:val="16"/>
          <w:color w:val="auto"/>
        </w:rPr>
        <w:t>Our financing activities primarily include the issuance and repayment of short-term and long-term debt, payment of dividends and stock repurchases. Financing activities was a cash inflow of $1.4 billion in the quarter ended March 31, 2020 compared to a cash outflow of $1.1 billion in the quarter ended March 31, 2019. The increase in cash provided by financing activities from the prior year of $2.4 billion is driven by an increase in debt issuances of $17.2 billion, partially offset by increases in debt repayments of $13.8 billion, debt extinguishment cost payments of $0.7 billion, and an increase in short term borrowing repayments of $0.3 billion. The debt issuances as of March 31, 2020 reflect additional debt incurred by Otis and Carrier of approximately $6 billion and $11 billion, respectively. The net proceeds of these issuances were primarily utilized to extinguish Raytheon Technologies short-term and long-term debt in order to achieve the applicable net indebtedness required by the merger agreement with Raytheon.</w:t>
      </w:r>
    </w:p>
    <w:p>
      <w:pPr>
        <w:spacing w:after="0" w:line="58" w:lineRule="exact"/>
        <w:rPr>
          <w:sz w:val="20"/>
          <w:szCs w:val="20"/>
          <w:color w:val="auto"/>
        </w:rPr>
      </w:pPr>
    </w:p>
    <w:p>
      <w:pPr>
        <w:ind w:firstLine="567"/>
        <w:spacing w:after="0" w:line="263" w:lineRule="auto"/>
        <w:rPr>
          <w:sz w:val="20"/>
          <w:szCs w:val="20"/>
          <w:color w:val="auto"/>
        </w:rPr>
      </w:pPr>
      <w:r>
        <w:rPr>
          <w:rFonts w:ascii="Arial" w:cs="Arial" w:eastAsia="Arial" w:hAnsi="Arial"/>
          <w:sz w:val="18"/>
          <w:szCs w:val="18"/>
          <w:color w:val="auto"/>
        </w:rPr>
        <w:t>Commercial paper borrowings and revolving credit facilities provide short-term liquidity to supplement operating cash flows and are used for general corporate purposes, including the funding of potential acquisitions and repurchases of our stock. We had approximately $500 million of outstanding commercial paper at March 31, 2020.</w:t>
      </w:r>
    </w:p>
    <w:p>
      <w:pPr>
        <w:spacing w:after="0" w:line="76" w:lineRule="exact"/>
        <w:rPr>
          <w:sz w:val="20"/>
          <w:szCs w:val="20"/>
          <w:color w:val="auto"/>
        </w:rPr>
      </w:pPr>
    </w:p>
    <w:p>
      <w:pPr>
        <w:ind w:firstLine="567"/>
        <w:spacing w:after="0" w:line="254" w:lineRule="auto"/>
        <w:rPr>
          <w:sz w:val="20"/>
          <w:szCs w:val="20"/>
          <w:color w:val="auto"/>
        </w:rPr>
      </w:pPr>
      <w:r>
        <w:rPr>
          <w:rFonts w:ascii="Arial" w:cs="Arial" w:eastAsia="Arial" w:hAnsi="Arial"/>
          <w:sz w:val="18"/>
          <w:szCs w:val="18"/>
          <w:color w:val="auto"/>
        </w:rPr>
        <w:t>At March 31, 2020, management had remaining authority to repurchase approximately $1.8 billion of our common stock under the October 14, 2015 share repurchase program. Under this program, shares may be purchased on the open market, in privately negotiated transactions, under accelerated share repurchase programs, and under plans complying with Rules 10b5-1 and 10b-18 under the Securities Exchange Act of 1934, as amended. We may also reacquire shares outside of the program from time to time in connection with the surrender of shares to cover taxes on vesting of restricted stock and as required under our employee savings plan. Our ability to repurchase shares is subject to applicable law. We made cash payments of approximately $47 million to repurchase approximately 330 thousand shares of our common stock for our employee stock ownership plan during the quarter ended March 31, 2020.</w:t>
      </w:r>
    </w:p>
    <w:p>
      <w:pPr>
        <w:spacing w:after="0" w:line="87" w:lineRule="exact"/>
        <w:rPr>
          <w:sz w:val="20"/>
          <w:szCs w:val="20"/>
          <w:color w:val="auto"/>
        </w:rPr>
      </w:pPr>
    </w:p>
    <w:p>
      <w:pPr>
        <w:jc w:val="both"/>
        <w:ind w:right="320" w:firstLine="567"/>
        <w:spacing w:after="0" w:line="263" w:lineRule="auto"/>
        <w:rPr>
          <w:sz w:val="20"/>
          <w:szCs w:val="20"/>
          <w:color w:val="auto"/>
        </w:rPr>
      </w:pPr>
      <w:r>
        <w:rPr>
          <w:rFonts w:ascii="Arial" w:cs="Arial" w:eastAsia="Arial" w:hAnsi="Arial"/>
          <w:sz w:val="18"/>
          <w:szCs w:val="18"/>
          <w:color w:val="auto"/>
        </w:rPr>
        <w:t>We paid dividends on common stock of $0.735 per share, totaling approximately $614 million in the aggregate for the quarter ended March 31, 2020. On April 27, 2020, the Board of Directors declared a dividend of $0.475 per share payable June 18, 2020 to shareowners of record at the close of business on May 15, 2020</w:t>
      </w:r>
      <w:r>
        <w:rPr>
          <w:rFonts w:ascii="Arial" w:cs="Arial" w:eastAsia="Arial" w:hAnsi="Arial"/>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121" w:lineRule="exact"/>
        <w:rPr>
          <w:sz w:val="20"/>
          <w:szCs w:val="20"/>
          <w:color w:val="auto"/>
        </w:rPr>
      </w:pPr>
    </w:p>
    <w:p>
      <w:pPr>
        <w:ind w:right="320" w:firstLine="445"/>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In our 2019 Annual Report, incorporated by reference in our 2019 </w:t>
      </w:r>
      <w:hyperlink r:id="rId62">
        <w:r>
          <w:rPr>
            <w:rFonts w:ascii="Arial" w:cs="Arial" w:eastAsia="Arial" w:hAnsi="Arial"/>
            <w:sz w:val="18"/>
            <w:szCs w:val="18"/>
            <w:u w:val="single" w:color="auto"/>
            <w:color w:val="0000FF"/>
          </w:rPr>
          <w:t>Form 10-K</w:t>
        </w:r>
      </w:hyperlink>
      <w:r>
        <w:rPr>
          <w:rFonts w:ascii="Arial" w:cs="Arial" w:eastAsia="Arial" w:hAnsi="Arial"/>
          <w:sz w:val="18"/>
          <w:szCs w:val="18"/>
          <w:color w:val="auto"/>
        </w:rPr>
        <w:t>, we disclosed our off-balance sheet arrangements and contractual obligations. As of March 31, 2020, there have been no material changes to these off-balance sheet arrangements and contractual obligations outside the ordinary course of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right="280" w:firstLine="445"/>
        <w:spacing w:after="0" w:line="284" w:lineRule="auto"/>
        <w:rPr>
          <w:sz w:val="20"/>
          <w:szCs w:val="20"/>
          <w:color w:val="auto"/>
        </w:rPr>
      </w:pPr>
      <w:r>
        <w:rPr>
          <w:rFonts w:ascii="Arial" w:cs="Arial" w:eastAsia="Arial" w:hAnsi="Arial"/>
          <w:sz w:val="16"/>
          <w:szCs w:val="16"/>
          <w:color w:val="auto"/>
        </w:rPr>
        <w:t>We have evaluated our exposure to changes in foreign currency exchange rates, interest rates and commodity prices in our market risk sensitive instruments, which are primarily cash, debt, and derivative instruments, using a value at risk analysis. Based on a 95% confidence level and a one-day holding period, at March 31, 2020, the potential loss in fair value on our market risk sensitive instruments was $1.1 billion. Our calculated value at risk exposure represents an estimate of reasonably possible net losses based on volatilities and correlations and is not necessarily indicative of actual results.</w:t>
      </w:r>
    </w:p>
    <w:p>
      <w:pPr>
        <w:spacing w:after="0" w:line="182"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color w:val="auto"/>
        </w:rPr>
        <w:t>The significant change in our exposure to market risk during the quarter ended March 31, 2020 is attributable to the negative effects of COVID-19 on the U.S. and global economy, disrupted supply chains and financial markets. As discussed in Liquidity, we currently believe we have sufficient liquidity to withstand the potential impact of COVID-19. In addition, the completion of the Separation Transactions, the Distributions and the Raytheon Merger have resulted in a diversified portfolio of both aerospace and defense businesses which allows us to better balance risks across the portfolio.</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20" w:firstLine="445"/>
        <w:spacing w:after="0" w:line="296" w:lineRule="auto"/>
        <w:rPr>
          <w:sz w:val="20"/>
          <w:szCs w:val="20"/>
          <w:color w:val="auto"/>
        </w:rPr>
      </w:pPr>
      <w:r>
        <w:rPr>
          <w:rFonts w:ascii="Arial" w:cs="Arial" w:eastAsia="Arial" w:hAnsi="Arial"/>
          <w:sz w:val="16"/>
          <w:szCs w:val="16"/>
          <w:color w:val="auto"/>
        </w:rPr>
        <w:t>As required by Rule 13a-15 under the Exchange Act, we carried out an evaluation under the supervision and with the participation of our management, including the President and Chief Executive Officer (CEO), the Executive Vice President &amp; Chief Financial Officer (CFO) and the Corporate Vice President, Controller (Controller), of the effectiveness of the design and operation of our disclosure controls and procedures as of March 31, 2020.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w:t>
      </w:r>
    </w:p>
    <w:p>
      <w:pPr>
        <w:sectPr>
          <w:pgSz w:w="11900" w:h="16838" w:orient="portrait"/>
          <w:cols w:equalWidth="0" w:num="1">
            <w:col w:w="11220"/>
          </w:cols>
          <w:pgMar w:left="320" w:top="123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32" w:right="359" w:bottom="1440" w:gutter="0" w:footer="0" w:header="0"/>
          <w:type w:val="continuous"/>
        </w:sectPr>
      </w:pPr>
    </w:p>
    <w:bookmarkStart w:id="51" w:name="page52"/>
    <w:bookmarkEnd w:id="51"/>
    <w:p>
      <w:pPr>
        <w:spacing w:after="0" w:line="257" w:lineRule="auto"/>
        <w:rPr>
          <w:sz w:val="20"/>
          <w:szCs w:val="20"/>
          <w:color w:val="auto"/>
        </w:rPr>
      </w:pPr>
      <w:r>
        <w:rPr>
          <w:rFonts w:ascii="Arial" w:cs="Arial" w:eastAsia="Arial" w:hAnsi="Arial"/>
          <w:sz w:val="18"/>
          <w:szCs w:val="18"/>
          <w:color w:val="auto"/>
        </w:rPr>
        <w:t>assurance of achieving their control objectives. Based upon our evaluation, our CEO, our CFO and our Controller have concluded that, as of March 31, 2020, our disclosure controls and procedures were effective to provide reasonable assurance that information required to be disclosed in the reports that we file or submit under the Exchange Act is recorded, processed, summarized and reported within the time periods specified in the applicable rules and forms, and that it is accumulated and communicated to our management, including our CEO, our CFO and our Controller, as appropriate, to allow timely decisions regarding required disclosure.</w:t>
      </w:r>
    </w:p>
    <w:p>
      <w:pPr>
        <w:spacing w:after="0" w:line="80" w:lineRule="exact"/>
        <w:rPr>
          <w:sz w:val="20"/>
          <w:szCs w:val="20"/>
          <w:color w:val="auto"/>
        </w:rPr>
      </w:pPr>
    </w:p>
    <w:p>
      <w:pPr>
        <w:ind w:right="120" w:firstLine="445"/>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March 31, 2020,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22"/>
          <w:szCs w:val="22"/>
          <w:b w:val="1"/>
          <w:bCs w:val="1"/>
          <w:color w:val="auto"/>
        </w:rPr>
        <w:t>Cautionary Note Concerning Factors That May Affect Future Results</w:t>
      </w:r>
    </w:p>
    <w:p>
      <w:pPr>
        <w:spacing w:after="0" w:line="111" w:lineRule="exact"/>
        <w:rPr>
          <w:sz w:val="20"/>
          <w:szCs w:val="20"/>
          <w:color w:val="auto"/>
        </w:rPr>
      </w:pPr>
    </w:p>
    <w:p>
      <w:pPr>
        <w:ind w:right="20" w:firstLine="445"/>
        <w:spacing w:after="0" w:line="268" w:lineRule="auto"/>
        <w:rPr>
          <w:sz w:val="20"/>
          <w:szCs w:val="20"/>
          <w:color w:val="auto"/>
        </w:rPr>
      </w:pPr>
      <w:r>
        <w:rPr>
          <w:rFonts w:ascii="Arial" w:cs="Arial" w:eastAsia="Arial" w:hAnsi="Arial"/>
          <w:sz w:val="16"/>
          <w:szCs w:val="16"/>
          <w:color w:val="auto"/>
        </w:rPr>
        <w:t>This Form 10-Q contains statements which, to the extent they are not statements of historical or present fact, constitute “forward-looking statements” under the securities laws. From time to time, oral or written forward-looking statements may also be included in other information released to the public. These forward-looking statements are intended to provide management’s current expectations or plans for our future operating and financial performance, based on assumptions currently believed to be valid. Forward-looking statements can be identified by the use of words such as “believe,” “expect,” “expectations,” “plans,” “strategy,” “prospects,” “estimate,” “project,” “target,” “anticipate,” “will,” “should,” “see,” “guidance,” “outlook,” “confident,” “on track” and other words of similar meaning. Forward-looking statements may include, among other things, statements relating to future sales, earnings, cash flow, results of operations, uses of cash, share repurchases, tax rates, R&amp;D spend, other measures of financial performance, potential future plans, strategies or transactions, credit ratings and net indebtedness, other anticipated benefits to RTC of United Technologies Corporation’s (“UTC”) Rockwell Collins acquisition, the merger between UTC and Raytheon Company (“Raytheon”, and such merger, the “merger”) or the spin-offs by UTC of Otis Worldwide Corporation and Carrier Global Corporation into separate independent companies (the “separation transactions”), including estimated synergies and customer cost savings resulting from the Raytheon Merger and the separation transactions and other statements that are not solely historical facts. All forward-looking statements involve risks, uncertainties and other factors that may cause actual results to differ materially from those expressed or implied in the forward-looking statements. For those statements, we claim the protection of the safe harbor for forward-looking statements contained in the U.S. Private Securities Litigation Reform Act of 1995. Such risks, uncertainties and other factors include, without limitation:</w:t>
      </w:r>
    </w:p>
    <w:p>
      <w:pPr>
        <w:spacing w:after="0" w:line="229" w:lineRule="exact"/>
        <w:rPr>
          <w:sz w:val="20"/>
          <w:szCs w:val="20"/>
          <w:color w:val="auto"/>
        </w:rPr>
      </w:pPr>
    </w:p>
    <w:p>
      <w:pPr>
        <w:ind w:left="660" w:right="60" w:hanging="328"/>
        <w:spacing w:after="0" w:line="247" w:lineRule="auto"/>
        <w:tabs>
          <w:tab w:leader="none" w:pos="655" w:val="left"/>
        </w:tabs>
        <w:numPr>
          <w:ilvl w:val="0"/>
          <w:numId w:val="13"/>
        </w:numPr>
        <w:rPr>
          <w:rFonts w:ascii="Arial" w:cs="Arial" w:eastAsia="Arial" w:hAnsi="Arial"/>
          <w:sz w:val="21"/>
          <w:szCs w:val="21"/>
          <w:color w:val="auto"/>
        </w:rPr>
      </w:pPr>
      <w:r>
        <w:rPr>
          <w:rFonts w:ascii="Arial" w:cs="Arial" w:eastAsia="Arial" w:hAnsi="Arial"/>
          <w:sz w:val="17"/>
          <w:szCs w:val="17"/>
          <w:color w:val="auto"/>
        </w:rPr>
        <w:t>the effect of economic conditions in the industries and markets in which RTC operates in the U.S. and globally and any changes therein, including financial market conditions, fluctuations in commodity prices, interest rates and foreign currency exchange rates, levels of end market demand in construction and in both the commercial and defense segments of the aerospace industry, levels of air travel, financial condition of commercial airlines, and the impact of pandemic health issues (including COVID-19 and its effects, among other things, on global supply, demand and distribution capabilities as the COVID-19 outbreak continues and results in an increasingly prolonged period of disruption to air travel and commercial activities generally, and significant restrictions and limitations on businesses, particularly within the aerospace and commercial airlines industries), aviation safety concerns, weather conditions and natural disasters, the financial condition of our customers and suppliers, and the risks associated with U.S. government sales (including changes or shifts in defense spending due to budgetary constraints, spending cuts resulting from sequestration or the allocation of funds to governmental responses to COVID-19, a government shutdown, or otherwise, and uncertain funding of programs);</w:t>
      </w:r>
    </w:p>
    <w:p>
      <w:pPr>
        <w:spacing w:after="0" w:line="7" w:lineRule="exact"/>
        <w:rPr>
          <w:rFonts w:ascii="Arial" w:cs="Arial" w:eastAsia="Arial" w:hAnsi="Arial"/>
          <w:sz w:val="21"/>
          <w:szCs w:val="21"/>
          <w:color w:val="auto"/>
        </w:rPr>
      </w:pPr>
    </w:p>
    <w:p>
      <w:pPr>
        <w:ind w:left="660" w:right="440" w:hanging="328"/>
        <w:spacing w:after="0" w:line="232" w:lineRule="auto"/>
        <w:tabs>
          <w:tab w:leader="none" w:pos="655" w:val="left"/>
        </w:tabs>
        <w:numPr>
          <w:ilvl w:val="0"/>
          <w:numId w:val="13"/>
        </w:numPr>
        <w:rPr>
          <w:rFonts w:ascii="Arial" w:cs="Arial" w:eastAsia="Arial" w:hAnsi="Arial"/>
          <w:sz w:val="22"/>
          <w:szCs w:val="22"/>
          <w:color w:val="auto"/>
        </w:rPr>
      </w:pPr>
      <w:r>
        <w:rPr>
          <w:rFonts w:ascii="Arial" w:cs="Arial" w:eastAsia="Arial" w:hAnsi="Arial"/>
          <w:sz w:val="18"/>
          <w:szCs w:val="18"/>
          <w:color w:val="auto"/>
        </w:rPr>
        <w:t>challenges in the development, production, delivery, support, performance and realization of the anticipated benefits (including our expected returns under customer contracts) of advanced technologies and new products and services;</w:t>
      </w:r>
    </w:p>
    <w:p>
      <w:pPr>
        <w:ind w:left="660" w:hanging="328"/>
        <w:spacing w:after="0" w:line="233" w:lineRule="auto"/>
        <w:tabs>
          <w:tab w:leader="none" w:pos="655" w:val="left"/>
        </w:tabs>
        <w:numPr>
          <w:ilvl w:val="0"/>
          <w:numId w:val="13"/>
        </w:numPr>
        <w:rPr>
          <w:rFonts w:ascii="Arial" w:cs="Arial" w:eastAsia="Arial" w:hAnsi="Arial"/>
          <w:sz w:val="22"/>
          <w:szCs w:val="22"/>
          <w:color w:val="auto"/>
        </w:rPr>
      </w:pPr>
      <w:r>
        <w:rPr>
          <w:rFonts w:ascii="Arial" w:cs="Arial" w:eastAsia="Arial" w:hAnsi="Arial"/>
          <w:sz w:val="18"/>
          <w:szCs w:val="18"/>
          <w:color w:val="auto"/>
        </w:rPr>
        <w:t>the scope, nature, impact or timing of acquisition and divestiture activity, including among other things the integration of UTC’s and Raytheon’s businesses or the integration of RTC with other businesses and realization of synergies and opportunities for growth and innovation and incurrence of related costs and expenses;</w:t>
      </w:r>
    </w:p>
    <w:p>
      <w:pPr>
        <w:ind w:left="660" w:hanging="328"/>
        <w:spacing w:after="0" w:line="217"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RTC’s levels of indebtedness, capital spending and research and development spending;</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future availability of credit and factors that may affect such availability, including credit market conditions and our capital structure;</w:t>
      </w:r>
    </w:p>
    <w:p>
      <w:pPr>
        <w:spacing w:after="0" w:line="12" w:lineRule="exact"/>
        <w:rPr>
          <w:rFonts w:ascii="Arial" w:cs="Arial" w:eastAsia="Arial" w:hAnsi="Arial"/>
          <w:sz w:val="22"/>
          <w:szCs w:val="22"/>
          <w:color w:val="auto"/>
        </w:rPr>
      </w:pPr>
    </w:p>
    <w:p>
      <w:pPr>
        <w:ind w:left="660" w:right="280" w:hanging="328"/>
        <w:spacing w:after="0" w:line="232" w:lineRule="auto"/>
        <w:tabs>
          <w:tab w:leader="none" w:pos="655" w:val="left"/>
        </w:tabs>
        <w:numPr>
          <w:ilvl w:val="0"/>
          <w:numId w:val="13"/>
        </w:numPr>
        <w:rPr>
          <w:rFonts w:ascii="Arial" w:cs="Arial" w:eastAsia="Arial" w:hAnsi="Arial"/>
          <w:sz w:val="22"/>
          <w:szCs w:val="22"/>
          <w:color w:val="auto"/>
        </w:rPr>
      </w:pPr>
      <w:r>
        <w:rPr>
          <w:rFonts w:ascii="Arial" w:cs="Arial" w:eastAsia="Arial" w:hAnsi="Arial"/>
          <w:sz w:val="18"/>
          <w:szCs w:val="18"/>
          <w:color w:val="auto"/>
        </w:rPr>
        <w:t>the timing and scope of future repurchases by RTC of its common stock, which may be suspended at any time due to various factors, including market conditions and the level of other investing activities and uses of cash;</w:t>
      </w:r>
    </w:p>
    <w:p>
      <w:pPr>
        <w:spacing w:after="0" w:line="1"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delays and disruption in delivery of materials and services from suppliers;</w:t>
      </w:r>
    </w:p>
    <w:p>
      <w:pPr>
        <w:spacing w:after="0" w:line="13" w:lineRule="exact"/>
        <w:rPr>
          <w:rFonts w:ascii="Arial" w:cs="Arial" w:eastAsia="Arial" w:hAnsi="Arial"/>
          <w:sz w:val="22"/>
          <w:szCs w:val="22"/>
          <w:color w:val="auto"/>
        </w:rPr>
      </w:pPr>
    </w:p>
    <w:p>
      <w:pPr>
        <w:jc w:val="both"/>
        <w:ind w:left="660" w:right="100" w:hanging="328"/>
        <w:spacing w:after="0" w:line="233" w:lineRule="auto"/>
        <w:tabs>
          <w:tab w:leader="none" w:pos="655" w:val="left"/>
        </w:tabs>
        <w:numPr>
          <w:ilvl w:val="0"/>
          <w:numId w:val="13"/>
        </w:numPr>
        <w:rPr>
          <w:rFonts w:ascii="Arial" w:cs="Arial" w:eastAsia="Arial" w:hAnsi="Arial"/>
          <w:sz w:val="22"/>
          <w:szCs w:val="22"/>
          <w:color w:val="auto"/>
        </w:rPr>
      </w:pPr>
      <w:r>
        <w:rPr>
          <w:rFonts w:ascii="Arial" w:cs="Arial" w:eastAsia="Arial" w:hAnsi="Arial"/>
          <w:sz w:val="18"/>
          <w:szCs w:val="18"/>
          <w:color w:val="auto"/>
        </w:rPr>
        <w:t>company and customer-directed cost reduction efforts and restructuring costs and savings and other consequences thereof (including the potential termination of U.S. government contracts and performance under undefinitized contract awards and the potential inability to recover termination costs);</w:t>
      </w:r>
    </w:p>
    <w:p>
      <w:pPr>
        <w:spacing w:after="0" w:line="1"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new business and investment opportunities;</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the ability to realize the intended benefits of organizational changes;</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the anticipated benefits of diversification and balance of operations across product lines, regions and industries;</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the outcome of legal proceedings, investigations and other contingencies;</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pension plan assumptions and future contributions;</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the impact of the negotiation of collective bargaining agreements and labor disputes;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41" w:right="359" w:bottom="1440" w:gutter="0" w:footer="0" w:header="0"/>
        </w:sectPr>
      </w:pPr>
    </w:p>
    <w:bookmarkStart w:id="53" w:name="page54"/>
    <w:bookmarkEnd w:id="53"/>
    <w:p>
      <w:pPr>
        <w:ind w:left="660" w:right="20" w:hanging="328"/>
        <w:spacing w:after="0" w:line="233" w:lineRule="auto"/>
        <w:tabs>
          <w:tab w:leader="none" w:pos="655" w:val="left"/>
        </w:tabs>
        <w:numPr>
          <w:ilvl w:val="0"/>
          <w:numId w:val="14"/>
        </w:numPr>
        <w:rPr>
          <w:rFonts w:ascii="Arial" w:cs="Arial" w:eastAsia="Arial" w:hAnsi="Arial"/>
          <w:sz w:val="22"/>
          <w:szCs w:val="22"/>
          <w:color w:val="auto"/>
        </w:rPr>
      </w:pPr>
      <w:r>
        <w:rPr>
          <w:rFonts w:ascii="Arial" w:cs="Arial" w:eastAsia="Arial" w:hAnsi="Arial"/>
          <w:sz w:val="18"/>
          <w:szCs w:val="18"/>
          <w:color w:val="auto"/>
        </w:rPr>
        <w:t>the effect of changes in political conditions in the U.S. and other countries in which RTC and its businesses operate, including the effect of changes in U.S. trade policies or the U.K.’s withdrawal from the European Union, on general market conditions, global trade policies and currency exchange rates in the near term and beyond;</w:t>
      </w:r>
    </w:p>
    <w:p>
      <w:pPr>
        <w:spacing w:after="0" w:line="1" w:lineRule="exact"/>
        <w:rPr>
          <w:rFonts w:ascii="Arial" w:cs="Arial" w:eastAsia="Arial" w:hAnsi="Arial"/>
          <w:sz w:val="22"/>
          <w:szCs w:val="22"/>
          <w:color w:val="auto"/>
        </w:rPr>
      </w:pPr>
    </w:p>
    <w:p>
      <w:pPr>
        <w:ind w:left="660" w:hanging="328"/>
        <w:spacing w:after="0" w:line="233" w:lineRule="auto"/>
        <w:tabs>
          <w:tab w:leader="none" w:pos="655" w:val="left"/>
        </w:tabs>
        <w:numPr>
          <w:ilvl w:val="0"/>
          <w:numId w:val="14"/>
        </w:numPr>
        <w:rPr>
          <w:rFonts w:ascii="Arial" w:cs="Arial" w:eastAsia="Arial" w:hAnsi="Arial"/>
          <w:sz w:val="22"/>
          <w:szCs w:val="22"/>
          <w:color w:val="auto"/>
        </w:rPr>
      </w:pPr>
      <w:r>
        <w:rPr>
          <w:rFonts w:ascii="Arial" w:cs="Arial" w:eastAsia="Arial" w:hAnsi="Arial"/>
          <w:sz w:val="18"/>
          <w:szCs w:val="18"/>
          <w:color w:val="auto"/>
        </w:rPr>
        <w:t>the effect of changes in tax (including U.S. tax reform enacted on December 22, 2017, which is commonly referred to as the Tax Cuts and Jobs Act of 2017), environmental, regulatory and other laws and regulations (including, among other things, export and import requirements such as the International Traffic in Arms Regulations and the Export Administration Regulations, anti-bribery and anti-corruption requirements, including the Foreign Corrupt Practices Act, industrial cooperation agreement obligations, and procurement and other regulations) in the U.S. and other countries in which RTC and its businesses operate;</w:t>
      </w:r>
    </w:p>
    <w:p>
      <w:pPr>
        <w:spacing w:after="0" w:line="3" w:lineRule="exact"/>
        <w:rPr>
          <w:rFonts w:ascii="Arial" w:cs="Arial" w:eastAsia="Arial" w:hAnsi="Arial"/>
          <w:sz w:val="22"/>
          <w:szCs w:val="22"/>
          <w:color w:val="auto"/>
        </w:rPr>
      </w:pPr>
    </w:p>
    <w:p>
      <w:pPr>
        <w:ind w:left="660" w:right="20" w:hanging="328"/>
        <w:spacing w:after="0" w:line="233" w:lineRule="auto"/>
        <w:tabs>
          <w:tab w:leader="none" w:pos="655" w:val="left"/>
        </w:tabs>
        <w:numPr>
          <w:ilvl w:val="0"/>
          <w:numId w:val="14"/>
        </w:numPr>
        <w:rPr>
          <w:rFonts w:ascii="Arial" w:cs="Arial" w:eastAsia="Arial" w:hAnsi="Arial"/>
          <w:sz w:val="22"/>
          <w:szCs w:val="22"/>
          <w:color w:val="auto"/>
        </w:rPr>
      </w:pPr>
      <w:r>
        <w:rPr>
          <w:rFonts w:ascii="Arial" w:cs="Arial" w:eastAsia="Arial" w:hAnsi="Arial"/>
          <w:sz w:val="18"/>
          <w:szCs w:val="18"/>
          <w:color w:val="auto"/>
        </w:rPr>
        <w:t>the possibility that the anticipated benefits from the combination of UTC’s and Raytheon’s businesses (including ongoing integration activities from historic UTC and Raytheon acquisitions prior to the merger) cannot be realized in full or at all or may take longer to realize than expected, or the possibility that costs or difficulties related to the integration of UTC’s businesses with Raytheon’s will be greater than expected or may not result in the achievement of estimated synergies within the contemplated time frame or at all;</w:t>
      </w:r>
    </w:p>
    <w:p>
      <w:pPr>
        <w:spacing w:after="0" w:line="2" w:lineRule="exact"/>
        <w:rPr>
          <w:rFonts w:ascii="Arial" w:cs="Arial" w:eastAsia="Arial" w:hAnsi="Arial"/>
          <w:sz w:val="22"/>
          <w:szCs w:val="22"/>
          <w:color w:val="auto"/>
        </w:rPr>
      </w:pPr>
    </w:p>
    <w:p>
      <w:pPr>
        <w:ind w:left="660" w:right="200" w:hanging="328"/>
        <w:spacing w:after="0" w:line="232" w:lineRule="auto"/>
        <w:tabs>
          <w:tab w:leader="none" w:pos="655" w:val="left"/>
        </w:tabs>
        <w:numPr>
          <w:ilvl w:val="0"/>
          <w:numId w:val="14"/>
        </w:numPr>
        <w:rPr>
          <w:rFonts w:ascii="Arial" w:cs="Arial" w:eastAsia="Arial" w:hAnsi="Arial"/>
          <w:sz w:val="22"/>
          <w:szCs w:val="22"/>
          <w:color w:val="auto"/>
        </w:rPr>
      </w:pPr>
      <w:r>
        <w:rPr>
          <w:rFonts w:ascii="Arial" w:cs="Arial" w:eastAsia="Arial" w:hAnsi="Arial"/>
          <w:sz w:val="18"/>
          <w:szCs w:val="18"/>
          <w:color w:val="auto"/>
        </w:rPr>
        <w:t>the ability of RTC to retain and hire key personnel and the ability of our personnel to continue to operate our facilities and businesses around the world in light of, among other factors, the COVID-19 outbreak;</w:t>
      </w:r>
    </w:p>
    <w:p>
      <w:pPr>
        <w:ind w:left="660" w:hanging="328"/>
        <w:spacing w:after="0" w:line="217" w:lineRule="auto"/>
        <w:tabs>
          <w:tab w:leader="none" w:pos="6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the expected benefits to RTC of the separation transactions;</w:t>
      </w:r>
    </w:p>
    <w:p>
      <w:pPr>
        <w:spacing w:after="0" w:line="13" w:lineRule="exact"/>
        <w:rPr>
          <w:rFonts w:ascii="Arial" w:cs="Arial" w:eastAsia="Arial" w:hAnsi="Arial"/>
          <w:sz w:val="22"/>
          <w:szCs w:val="22"/>
          <w:color w:val="auto"/>
        </w:rPr>
      </w:pPr>
    </w:p>
    <w:p>
      <w:pPr>
        <w:ind w:left="660" w:right="20" w:hanging="328"/>
        <w:spacing w:after="0" w:line="232" w:lineRule="auto"/>
        <w:tabs>
          <w:tab w:leader="none" w:pos="655" w:val="left"/>
        </w:tabs>
        <w:numPr>
          <w:ilvl w:val="0"/>
          <w:numId w:val="14"/>
        </w:numPr>
        <w:rPr>
          <w:rFonts w:ascii="Arial" w:cs="Arial" w:eastAsia="Arial" w:hAnsi="Arial"/>
          <w:sz w:val="22"/>
          <w:szCs w:val="22"/>
          <w:color w:val="auto"/>
        </w:rPr>
      </w:pPr>
      <w:r>
        <w:rPr>
          <w:rFonts w:ascii="Arial" w:cs="Arial" w:eastAsia="Arial" w:hAnsi="Arial"/>
          <w:sz w:val="18"/>
          <w:szCs w:val="18"/>
          <w:color w:val="auto"/>
        </w:rPr>
        <w:t>the intended qualification of (i) the Raytheon Merger as a tax-free reorganization and (ii) the separation transactions as tax-free to UTC and former UTC shareowners, in each case, for U.S. federal income tax purposes; and</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14"/>
        </w:numPr>
        <w:rPr>
          <w:rFonts w:ascii="Arial" w:cs="Arial" w:eastAsia="Arial" w:hAnsi="Arial"/>
          <w:sz w:val="19"/>
          <w:szCs w:val="19"/>
          <w:color w:val="auto"/>
        </w:rPr>
      </w:pPr>
      <w:r>
        <w:rPr>
          <w:rFonts w:ascii="Arial" w:cs="Arial" w:eastAsia="Arial" w:hAnsi="Arial"/>
          <w:sz w:val="16"/>
          <w:szCs w:val="16"/>
          <w:color w:val="auto"/>
        </w:rPr>
        <w:t>the risk that dis-synergy costs incurred in connection with the separation transactions will exceed legacy UTC’s or legacy Raytheon’s estimates.</w:t>
      </w:r>
    </w:p>
    <w:p>
      <w:pPr>
        <w:spacing w:after="0" w:line="240"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In addition, this Form 10-Q includes important information as to risks, uncertainties and other factors that may cause actual results to differ materially from those expressed or implied in the forward-looking statements. See the "Notes to Condensed Consolidated Financial Statements" under the heading "Note</w:t>
      </w:r>
    </w:p>
    <w:p>
      <w:pPr>
        <w:spacing w:after="0" w:line="1" w:lineRule="exact"/>
        <w:rPr>
          <w:sz w:val="20"/>
          <w:szCs w:val="20"/>
          <w:color w:val="auto"/>
        </w:rPr>
      </w:pPr>
    </w:p>
    <w:p>
      <w:pPr>
        <w:ind w:firstLine="8"/>
        <w:spacing w:after="0" w:line="255" w:lineRule="auto"/>
        <w:tabs>
          <w:tab w:leader="none" w:pos="275"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Contingent Liabilities," the section titled "Management's Discussion and Analysis of Financial Condition and Results of Operations" under the headings "Business Overview," "Critical Accounting Estimates," "Results of Operations," and "Liquidity and Financial Condition," and the sections titled "Legal Proceedings" and "Risk Factors" in this Form 10-Q and in our 2019 Annual Report and 2019 Form 10-K. Additional important information as to these factors is included in our 2019 Annual Report in the section titled "Management's Discussion and Analysis of Financial Condition and Results of Operations" under the headings "Restructuring Costs," "Environmental Matters" and "Governmental Matters", in our 2019 Form 10-K in the "Business" section under the headings "General," "Description of Business by Segment" and "Other Matters Relating to Our Business as a Whole" and in our Form S-4 Registration Statements (Registration No. 333-220883) and (Registrations No. 333-232696) under the heading "Risk Factors". The forward-looking statements speak only as of the date of this report or, in the case of any document incorporated by reference, the date of that document. We undertake no obligation to publicly update or revise any forward-looking statements, whether as a result of new information, future events or otherwise, except as required by applicable law. Additional information as to factors that may cause actual results to differ materially from those expressed or implied in the forward-looking statements is disclosed from time to time in our other filings with the SEC.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16: Contingent Liabilities, for discussion regarding material legal proceedings.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Thales-Raytheon Systems Matter</w:t>
      </w:r>
    </w:p>
    <w:p>
      <w:pPr>
        <w:spacing w:after="0" w:line="12"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color w:val="212529"/>
        </w:rPr>
        <w:t>As previously disclosed in Raytheon Company’s Form 10-K for the year ended December 31, 2019, in 2019, Raytheon Company received a subpoena from the Securities and Exchange Commission (SEC) seeking information in connection with an investigation into whether there were improper payments made by Thales-Raytheon Systems (TRS), Raytheon or anyone acting on their behalf in connection with TRS or Raytheon contracts in certain Middle East countries since 2014. In the first quarter of 2020, the Department of Justice (DOJ) advised Raytheon it had opened a parallel investigation. Raytheon maintains a rigorous anti-corruption compliance program, is cooperating fully with the SEC’s inquiry, and is examining whether there has been any conduct that is in violation of Raytheon policy. At this point there is no ability to predict the outcome of the SEC’s or DOJ’s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54" w:name="page55"/>
    <w:bookmarkEnd w:id="54"/>
    <w:p>
      <w:pPr>
        <w:ind w:right="200"/>
        <w:spacing w:after="0" w:line="263" w:lineRule="auto"/>
        <w:rPr>
          <w:sz w:val="20"/>
          <w:szCs w:val="20"/>
          <w:color w:val="auto"/>
        </w:rPr>
      </w:pPr>
      <w:r>
        <w:rPr>
          <w:rFonts w:ascii="Arial" w:cs="Arial" w:eastAsia="Arial" w:hAnsi="Arial"/>
          <w:sz w:val="18"/>
          <w:szCs w:val="18"/>
          <w:color w:val="212529"/>
        </w:rPr>
        <w:t>inquiry. Based on the information available to date, however, we do not believe the results of this inquiry will have a material adverse effect on our financial condition, results of operations or liquidity. This matter became applicable to Raytheon Technologies following the April 3, 2020 Raytheon Merger.</w:t>
      </w:r>
    </w:p>
    <w:p>
      <w:pPr>
        <w:spacing w:after="0" w:line="211" w:lineRule="exact"/>
        <w:rPr>
          <w:sz w:val="20"/>
          <w:szCs w:val="20"/>
          <w:color w:val="auto"/>
        </w:rPr>
      </w:pPr>
    </w:p>
    <w:p>
      <w:pPr>
        <w:ind w:firstLine="405"/>
        <w:spacing w:after="0" w:line="261" w:lineRule="auto"/>
        <w:rPr>
          <w:sz w:val="20"/>
          <w:szCs w:val="20"/>
          <w:color w:val="auto"/>
        </w:rPr>
      </w:pPr>
      <w:r>
        <w:rPr>
          <w:rFonts w:ascii="Arial" w:cs="Arial" w:eastAsia="Arial" w:hAnsi="Arial"/>
          <w:sz w:val="18"/>
          <w:szCs w:val="18"/>
          <w:color w:val="auto"/>
        </w:rPr>
        <w:t>Except as otherwise noted above, there have been no material developments in legal proceedings. For previously reported information about legal proceedings refer to Part I, Item 3, "Legal Proceedings," of our 2019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1016" w:right="6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1A. Risk Factors</w:t>
      </w:r>
    </w:p>
    <w:p>
      <w:pPr>
        <w:spacing w:after="0" w:line="360"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Risk Factors</w:t>
      </w:r>
    </w:p>
    <w:p>
      <w:pPr>
        <w:spacing w:after="0" w:line="243"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The Company is restating its Risk Factors for the purpose of addressing risks related to the Company following the completion of the Separation Transactions and the Raytheon Merger and the COVID-19 pandemic.</w:t>
      </w:r>
    </w:p>
    <w:p>
      <w:pPr>
        <w:spacing w:after="0" w:line="19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Our business, financial condition, operating results and cash flows can be impacted by the factors set forth below, any one of which could cause our actual results to vary materially from recent results or from our anticipated future results.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Adversely Affected by Changes in Global Economic, Capital Market and Political Conditions.</w:t>
      </w:r>
    </w:p>
    <w:p>
      <w:pPr>
        <w:spacing w:after="0" w:line="50"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Our business, financial condition, operating results and cash flows may be adversely affected by changes in global economic conditions and geopolitical risks, including credit market conditions, levels of consumer and business confidence, commodity prices, exchange rates, levels of government spending and deficits, the threat environment, trade policies, political conditions, actual or anticipated default on sovereign debt and other challenges that could affect the global economy. These economic conditions affect businesses such as ours in a number of ways. Tightening of credit in financial markets could adversely affect the ability of our customers and suppliers to obtain financing for significant purchases and operations, could result in a decrease in or cancellation of orders for our products and services, and could impact the ability of our customers to make payments. Similarly, such tightening of credit may adversely affect our supplier base and increase the potential for one or more of our suppliers to experience financial distress or bankruptcy. In addition, geopolitical risks, including changes in the threat environment and political conditions, could affect government priorities, budgets and policies, which could impact sales of defense and other products and services. Our global business is also adversely affected by decreases in the general level of economic activity, such as decreases in business and consumer spending, air travel, the financial strength of airlines and business jet operators, and government procurement.</w:t>
      </w:r>
    </w:p>
    <w:p>
      <w:pPr>
        <w:spacing w:after="0" w:line="26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COVID-19 Has Affected and Will Continue to Affect our Business, Supply Chains, Operations and the Industries in which We Operate.</w:t>
      </w:r>
    </w:p>
    <w:p>
      <w:pPr>
        <w:spacing w:after="0" w:line="73" w:lineRule="exact"/>
        <w:rPr>
          <w:sz w:val="20"/>
          <w:szCs w:val="20"/>
          <w:color w:val="auto"/>
        </w:rPr>
      </w:pPr>
    </w:p>
    <w:p>
      <w:pPr>
        <w:ind w:right="40" w:firstLine="445"/>
        <w:spacing w:after="0" w:line="253" w:lineRule="auto"/>
        <w:rPr>
          <w:sz w:val="20"/>
          <w:szCs w:val="20"/>
          <w:color w:val="auto"/>
        </w:rPr>
      </w:pPr>
      <w:r>
        <w:rPr>
          <w:rFonts w:ascii="Arial" w:cs="Arial" w:eastAsia="Arial" w:hAnsi="Arial"/>
          <w:sz w:val="17"/>
          <w:szCs w:val="17"/>
          <w:color w:val="auto"/>
        </w:rPr>
        <w:t>The COVID-19 pandemic has significantly increased global economic and demand uncertainty. Public and private sector policies and initiatives in the U.S. and worldwide to address the transmission of COVID-19, such as the imposition of travel restrictions and the adoption of remote working, have impacted the Company’s business, operations and the industries in which we operate. The disruption to air travel and commercial activities generally, and significant restrictions and limitations on businesses, attributable to the COVID-19 pandemic has negatively impacted the global supply, demand and distribution capabilities of the aerospace and commercial airlines industries. In particular, the decrease in air travel resulting from the COVID-19 pandemic has resulted in the loss of business and leisure passenger traffic and is adversely affecting our airline and airframer customers, and their demand for our products and services. Aircraft manufacturers are reducing production rates due to fewer expected aircraft deliveries and, as a result, demand for our products in the original equipment manufacturer market has decreased. In addition, significant declines in aircraft flight hours are resulting in reduced demand for our aftermarket parts and services. COVID-19 may also limit the ability of our customers generally to perform, including in making timely payment to us.</w:t>
      </w:r>
    </w:p>
    <w:p>
      <w:pPr>
        <w:spacing w:after="0" w:line="18" w:lineRule="exact"/>
        <w:rPr>
          <w:sz w:val="20"/>
          <w:szCs w:val="20"/>
          <w:color w:val="auto"/>
        </w:rPr>
      </w:pPr>
    </w:p>
    <w:p>
      <w:pPr>
        <w:ind w:right="100" w:firstLine="445"/>
        <w:spacing w:after="0" w:line="243" w:lineRule="auto"/>
        <w:rPr>
          <w:sz w:val="20"/>
          <w:szCs w:val="20"/>
          <w:color w:val="auto"/>
        </w:rPr>
      </w:pPr>
      <w:r>
        <w:rPr>
          <w:rFonts w:ascii="Arial" w:cs="Arial" w:eastAsia="Arial" w:hAnsi="Arial"/>
          <w:sz w:val="18"/>
          <w:szCs w:val="18"/>
          <w:color w:val="auto"/>
        </w:rPr>
        <w:t>In addition, we provide aircraft financing commitments, in the form of debt or lease financing, to commercial aerospace customers. COVID-19 may increase the need for these customers to utilize these financing commitments due to its adverse impact on their businesses or their inability to obtain more favorable terms from other financing sources. If financing commitments are exercised, the Company will need to divert cash to satisfy them, and these customers may be unable to make payments.</w:t>
      </w:r>
    </w:p>
    <w:p>
      <w:pPr>
        <w:spacing w:after="0" w:line="26" w:lineRule="exact"/>
        <w:rPr>
          <w:sz w:val="20"/>
          <w:szCs w:val="20"/>
          <w:color w:val="auto"/>
        </w:rPr>
      </w:pPr>
    </w:p>
    <w:p>
      <w:pPr>
        <w:jc w:val="both"/>
        <w:ind w:right="100" w:firstLine="445"/>
        <w:spacing w:after="0" w:line="270" w:lineRule="auto"/>
        <w:rPr>
          <w:sz w:val="20"/>
          <w:szCs w:val="20"/>
          <w:color w:val="auto"/>
        </w:rPr>
      </w:pPr>
      <w:r>
        <w:rPr>
          <w:rFonts w:ascii="Arial" w:cs="Arial" w:eastAsia="Arial" w:hAnsi="Arial"/>
          <w:sz w:val="17"/>
          <w:szCs w:val="17"/>
          <w:color w:val="auto"/>
        </w:rPr>
        <w:t>The COVID-19 pandemic has impacted, and will continue to impact, the Company’s supply chains, including the ability of suppliers and vendors to provide their products and services to the Company. At this time, some of our suppliers have reduced or ceased operations as a result of COVID-19. This supply chain impact could also contribute to performance delays on our customer obligations and increase our costs.</w:t>
      </w:r>
    </w:p>
    <w:p>
      <w:pPr>
        <w:spacing w:after="0" w:line="2" w:lineRule="exact"/>
        <w:rPr>
          <w:sz w:val="20"/>
          <w:szCs w:val="20"/>
          <w:color w:val="auto"/>
        </w:rPr>
      </w:pPr>
    </w:p>
    <w:p>
      <w:pPr>
        <w:ind w:right="60" w:firstLine="445"/>
        <w:spacing w:after="0" w:line="255" w:lineRule="auto"/>
        <w:rPr>
          <w:sz w:val="20"/>
          <w:szCs w:val="20"/>
          <w:color w:val="auto"/>
        </w:rPr>
      </w:pPr>
      <w:r>
        <w:rPr>
          <w:rFonts w:ascii="Arial" w:cs="Arial" w:eastAsia="Arial" w:hAnsi="Arial"/>
          <w:sz w:val="17"/>
          <w:szCs w:val="17"/>
          <w:color w:val="auto"/>
        </w:rPr>
        <w:t>We are facing increased operational challenges from the need to protect employee health and safety, workplace disruptions, and restrictions on the movement of people and goods, at our own facilities and at customers and suppliers. In addition, continued reduced operations and business disruption – including if significant portions of our workforce or our suppliers’ workforces are unable to work effectively due to facilities closures, illness, quarantines, government actions or other restrictions – could hinder or delay our production capabilities generally, and otherwise impede our ability to perform on our obligations to our customers, and may also result in increased costs to us. The continued spread of COVID-19 may also affect our ability to hire, develop and retain our talented and diverse workforce, and to maintain our corporate culture. Any costs associated with COVID-19 may not be fully recoverable or adequately covered by insurance.</w:t>
      </w:r>
    </w:p>
    <w:p>
      <w:pPr>
        <w:spacing w:after="0" w:line="18" w:lineRule="exact"/>
        <w:rPr>
          <w:sz w:val="20"/>
          <w:szCs w:val="20"/>
          <w:color w:val="auto"/>
        </w:rPr>
      </w:pPr>
    </w:p>
    <w:p>
      <w:pPr>
        <w:ind w:right="20" w:firstLine="445"/>
        <w:spacing w:after="0" w:line="248" w:lineRule="auto"/>
        <w:rPr>
          <w:sz w:val="20"/>
          <w:szCs w:val="20"/>
          <w:color w:val="auto"/>
        </w:rPr>
      </w:pPr>
      <w:r>
        <w:rPr>
          <w:rFonts w:ascii="Arial" w:cs="Arial" w:eastAsia="Arial" w:hAnsi="Arial"/>
          <w:sz w:val="18"/>
          <w:szCs w:val="18"/>
          <w:color w:val="auto"/>
        </w:rPr>
        <w:t>The COVID-19 pandemic also may materially impact U.S. government sales, including changes or shifts in defense spending due to budgetary constraints, the allocation of funds to governmental responses to COVID-19, a failure to complete the government budget process resulting in a Continuing Resolution (CR) or a government shutdown, or otherwise, and</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56" w:name="page57"/>
    <w:bookmarkEnd w:id="56"/>
    <w:p>
      <w:pPr>
        <w:spacing w:after="0" w:line="259" w:lineRule="auto"/>
        <w:rPr>
          <w:sz w:val="20"/>
          <w:szCs w:val="20"/>
          <w:color w:val="auto"/>
        </w:rPr>
      </w:pPr>
      <w:r>
        <w:rPr>
          <w:rFonts w:ascii="Arial" w:cs="Arial" w:eastAsia="Arial" w:hAnsi="Arial"/>
          <w:sz w:val="17"/>
          <w:szCs w:val="17"/>
          <w:color w:val="auto"/>
        </w:rPr>
        <w:t>uncertain funding of programs. COVID-19 has impacted and may further impact the broader economies of affected countries, including negatively impacting economic growth, and creating volatility and unpredictability in financial and capital markets, foreign currency exchange rates, and interest rates. These impacts and the resulting volatility and disruption to the global capital markets may increase the cost of capital and may adversely impact access to capital for the Company and our suppliers and customers including heightened counter party risks associated with foreign exchange hedging transactions, interest rate swaps, solvency of revolving credit facility banks and the ability to raise capital both short-term and long-term.</w:t>
      </w:r>
    </w:p>
    <w:p>
      <w:pPr>
        <w:spacing w:after="0" w:line="12" w:lineRule="exact"/>
        <w:rPr>
          <w:sz w:val="20"/>
          <w:szCs w:val="20"/>
          <w:color w:val="auto"/>
        </w:rPr>
      </w:pPr>
    </w:p>
    <w:p>
      <w:pPr>
        <w:ind w:right="60" w:firstLine="445"/>
        <w:spacing w:after="0" w:line="257" w:lineRule="auto"/>
        <w:rPr>
          <w:sz w:val="20"/>
          <w:szCs w:val="20"/>
          <w:color w:val="auto"/>
        </w:rPr>
      </w:pPr>
      <w:r>
        <w:rPr>
          <w:rFonts w:ascii="Arial" w:cs="Arial" w:eastAsia="Arial" w:hAnsi="Arial"/>
          <w:sz w:val="17"/>
          <w:szCs w:val="17"/>
          <w:color w:val="auto"/>
        </w:rPr>
        <w:t>Any of these factors, depending on the severity and duration of the outbreak and its effects, could have a material adverse effect on our business, results of operations, financial condition and cash flows. The financial impact of the COVID-19 pandemic cannot be reasonably estimated at this time. The extent of such impact depends on future developments, which are highly uncertain and cannot be predicted in the short- or long-term, including new information which may emerge concerning the scope, severity and duration of the COVID-19 pandemic, actions to contain its spread or treat its impact, and governmental, business and individuals’ actions taken in response to the pandemic (including restrictions and limitations on travel and transportation, and changes in travel patterns and work environments) among others.</w:t>
      </w:r>
    </w:p>
    <w:p>
      <w:pPr>
        <w:spacing w:after="0" w:line="256"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b w:val="1"/>
          <w:bCs w:val="1"/>
          <w:i w:val="1"/>
          <w:iCs w:val="1"/>
          <w:color w:val="auto"/>
        </w:rPr>
        <w:t>Changes in U.S. Government Defense Spending Could Negatively Impact our Financial Position, Results of Operations, Liquidity and Overall Business.</w:t>
      </w:r>
    </w:p>
    <w:p>
      <w:pPr>
        <w:spacing w:after="0" w:line="9" w:lineRule="exact"/>
        <w:rPr>
          <w:sz w:val="20"/>
          <w:szCs w:val="20"/>
          <w:color w:val="auto"/>
        </w:rPr>
      </w:pPr>
    </w:p>
    <w:p>
      <w:pPr>
        <w:ind w:firstLine="486"/>
        <w:spacing w:after="0" w:line="252" w:lineRule="auto"/>
        <w:rPr>
          <w:sz w:val="20"/>
          <w:szCs w:val="20"/>
          <w:color w:val="auto"/>
        </w:rPr>
      </w:pPr>
      <w:r>
        <w:rPr>
          <w:rFonts w:ascii="Arial" w:cs="Arial" w:eastAsia="Arial" w:hAnsi="Arial"/>
          <w:sz w:val="17"/>
          <w:szCs w:val="17"/>
          <w:color w:val="auto"/>
        </w:rPr>
        <w:t>U.S. government sales constitute a significant portion of our consolidated sales. Our U.S. government revenues largely result from contracts awarded under various U.S. government programs, primarily defense-related programs with the U.S. Department of Defense (DoD), and a broad range of programs with the U.S. Intelligence Community and other departments and agencies. Changes in U.S. government defense spending could negatively impact our results of operations, financial condition and liquidity. Our programs are subject to U.S. government policies, budget decisions and appropriation processes which are driven by numerous factors including: (1) geopolitical events; (2) macroeconomic conditions; and (3) the ability of the U.S. government to enact relevant legislation, such as appropriations bills. In recent years, U.S. government appropriations have been affected by larger U.S. government budgetary issues and related legislation. In previous years the U.S. government has been unable to complete its budget process before the end of its fiscal year, resulting in both governmental shut-downs and CRs providing only enough funds for U.S. government agencies to continue operating at prior-year levels. Further, if the U.S. government debt ceiling is not raised and the national debt reaches the statutory debt ceiling, the U.S. government could default on its debts. As a result, U.S. government defense spending levels are subject to a wide range of outcomes and are difficult to predict beyond the near-term due to numerous factors, including the external threat environment, future governmental priorities and the state of governmental finances. Significant changes in U.S. government defense spending or changes in U.S. government priorities, policies and requirements could have a material adverse effect on our results of operations, financial condition and liquidity.</w:t>
      </w:r>
    </w:p>
    <w:p>
      <w:pPr>
        <w:spacing w:after="0" w:line="261"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b w:val="1"/>
          <w:bCs w:val="1"/>
          <w:i w:val="1"/>
          <w:iCs w:val="1"/>
          <w:color w:val="auto"/>
        </w:rPr>
        <w:t>We Face Risks Relating to Our U.S. Government Contracts and the Mix of our U.S. Government Contracts and Programs that Could Negatively Impact our Financial Condition, Results of Operations, Liquidity and Overall Business.</w:t>
      </w:r>
    </w:p>
    <w:p>
      <w:pPr>
        <w:spacing w:after="0" w:line="9" w:lineRule="exact"/>
        <w:rPr>
          <w:sz w:val="20"/>
          <w:szCs w:val="20"/>
          <w:color w:val="auto"/>
        </w:rPr>
      </w:pPr>
    </w:p>
    <w:p>
      <w:pPr>
        <w:ind w:right="180" w:firstLine="486"/>
        <w:spacing w:after="0" w:line="281" w:lineRule="auto"/>
        <w:rPr>
          <w:sz w:val="20"/>
          <w:szCs w:val="20"/>
          <w:color w:val="auto"/>
        </w:rPr>
      </w:pPr>
      <w:r>
        <w:rPr>
          <w:rFonts w:ascii="Arial" w:cs="Arial" w:eastAsia="Arial" w:hAnsi="Arial"/>
          <w:sz w:val="17"/>
          <w:szCs w:val="17"/>
          <w:color w:val="auto"/>
        </w:rPr>
        <w:t>The termination of one or more of our contracts, or the occurrence of performance delays, cost overruns, product failures, materials or components shortages, or contract definitization delays, could negatively impact our results of operations, financial condition and liquidity.</w:t>
      </w:r>
    </w:p>
    <w:p>
      <w:pPr>
        <w:spacing w:after="0" w:line="1" w:lineRule="exact"/>
        <w:rPr>
          <w:sz w:val="20"/>
          <w:szCs w:val="20"/>
          <w:color w:val="auto"/>
        </w:rPr>
      </w:pPr>
    </w:p>
    <w:p>
      <w:pPr>
        <w:ind w:right="20" w:firstLine="486"/>
        <w:spacing w:after="0" w:line="254" w:lineRule="auto"/>
        <w:rPr>
          <w:sz w:val="20"/>
          <w:szCs w:val="20"/>
          <w:color w:val="auto"/>
        </w:rPr>
      </w:pPr>
      <w:r>
        <w:rPr>
          <w:rFonts w:ascii="Arial" w:cs="Arial" w:eastAsia="Arial" w:hAnsi="Arial"/>
          <w:sz w:val="17"/>
          <w:szCs w:val="17"/>
          <w:color w:val="auto"/>
        </w:rPr>
        <w:t>U.S. government contracts generally permit the government to terminate the contract, in whole or in part, without prior notice, at the U.S. government’s convenience or for default based on performance. If one of our contracts is terminated for convenience, we would generally be entitled to payments for our allowable costs and would receive some allowance for profit on the work performed. If one of our contracts is terminated for default, we would generally be entitled to payments for work accepted by the U.S. government. A termination arising out of our default could expose us to liability and have a negative impact on our ability to obtain future contracts and orders. In addition, we are a subcontractor and not the prime contractor on some contracts. In these arrangements, the U.S. government could terminate the prime contract for convenience or otherwise, without regard to our performance as a subcontractor. Further, we can give no assurance that we would be awarded new U.S. government contracts to offset the revenues lost as a result of the termination of any of our contracts.</w:t>
      </w:r>
    </w:p>
    <w:p>
      <w:pPr>
        <w:spacing w:after="0" w:line="19" w:lineRule="exact"/>
        <w:rPr>
          <w:sz w:val="20"/>
          <w:szCs w:val="20"/>
          <w:color w:val="auto"/>
        </w:rPr>
      </w:pPr>
    </w:p>
    <w:p>
      <w:pPr>
        <w:ind w:right="40" w:firstLine="486"/>
        <w:spacing w:after="0" w:line="257" w:lineRule="auto"/>
        <w:rPr>
          <w:sz w:val="20"/>
          <w:szCs w:val="20"/>
          <w:color w:val="auto"/>
        </w:rPr>
      </w:pPr>
      <w:r>
        <w:rPr>
          <w:rFonts w:ascii="Arial" w:cs="Arial" w:eastAsia="Arial" w:hAnsi="Arial"/>
          <w:sz w:val="17"/>
          <w:szCs w:val="17"/>
          <w:color w:val="auto"/>
        </w:rPr>
        <w:t>In addition, because the funding of U.S. government programs is subject to congressional appropriations made on a fiscal year basis even for multi-year programs, programs are often only partially funded initially and may not continue to be funded in future years. Appropriation bills may be delayed, which may result in delays to funding, the collection of receivables and our contract performance due to lack of authorized funds to procure related products and services. Under certain circumstances, we may use our own funds to meet our customer’s desired delivery dates or other requirements, but we may not be reimbursed. Further, if appropriations for one of our programs become unavailable, reduced or delayed, the U.S. government may terminate for convenience our contract or subcontract under that program.</w:t>
      </w:r>
    </w:p>
    <w:p>
      <w:pPr>
        <w:spacing w:after="0" w:line="13" w:lineRule="exact"/>
        <w:rPr>
          <w:sz w:val="20"/>
          <w:szCs w:val="20"/>
          <w:color w:val="auto"/>
        </w:rPr>
      </w:pPr>
    </w:p>
    <w:p>
      <w:pPr>
        <w:ind w:right="40" w:firstLine="486"/>
        <w:spacing w:after="0" w:line="241" w:lineRule="auto"/>
        <w:rPr>
          <w:sz w:val="20"/>
          <w:szCs w:val="20"/>
          <w:color w:val="auto"/>
        </w:rPr>
      </w:pPr>
      <w:r>
        <w:rPr>
          <w:rFonts w:ascii="Arial" w:cs="Arial" w:eastAsia="Arial" w:hAnsi="Arial"/>
          <w:sz w:val="18"/>
          <w:szCs w:val="18"/>
          <w:color w:val="auto"/>
        </w:rPr>
        <w:t>Our U.S. government contracts typically involve the development, application and manufacture of advanced defense and technology systems and products aimed at achieving challenging goals. New technologies may be untested or unproven and in some instances, product requirements or specifications may be modified. As a result, we may experience technological and other performance difficulties, which may result in delays, setbacks, cost overruns or product failures, and could divert our attention or resources from other projects. Our failure to execute effectively on our development programs could impact our</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7" w:name="page58"/>
    <w:bookmarkEnd w:id="57"/>
    <w:p>
      <w:pPr>
        <w:ind w:right="180"/>
        <w:spacing w:after="0" w:line="248" w:lineRule="auto"/>
        <w:rPr>
          <w:sz w:val="20"/>
          <w:szCs w:val="20"/>
          <w:color w:val="auto"/>
        </w:rPr>
      </w:pPr>
      <w:r>
        <w:rPr>
          <w:rFonts w:ascii="Arial" w:cs="Arial" w:eastAsia="Arial" w:hAnsi="Arial"/>
          <w:sz w:val="18"/>
          <w:szCs w:val="18"/>
          <w:color w:val="auto"/>
        </w:rPr>
        <w:t>future sales opportunities. Additionally, in order to win certain U.S. government contracts, we may be required to invest in development prior to award as our customers demand more mature and proven solutions. These additional investment amounts may not be worthwhile if we are not chosen for new contract awards.</w:t>
      </w:r>
    </w:p>
    <w:p>
      <w:pPr>
        <w:spacing w:after="0" w:line="20" w:lineRule="exact"/>
        <w:rPr>
          <w:sz w:val="20"/>
          <w:szCs w:val="20"/>
          <w:color w:val="auto"/>
        </w:rPr>
      </w:pPr>
    </w:p>
    <w:p>
      <w:pPr>
        <w:ind w:firstLine="486"/>
        <w:spacing w:after="0" w:line="252" w:lineRule="auto"/>
        <w:rPr>
          <w:sz w:val="20"/>
          <w:szCs w:val="20"/>
          <w:color w:val="auto"/>
        </w:rPr>
      </w:pPr>
      <w:r>
        <w:rPr>
          <w:rFonts w:ascii="Arial" w:cs="Arial" w:eastAsia="Arial" w:hAnsi="Arial"/>
          <w:sz w:val="17"/>
          <w:szCs w:val="17"/>
          <w:color w:val="auto"/>
        </w:rPr>
        <w:t>Our U.S. government contracts are typically either fixed-priced contracts or cost reimbursement contracts. Fixed-price contracts are predominantly either firm fixed-price (FFP) contracts or fixed-price incentive (FPI) contracts. Under FFP contracts, we receive a fixed price irrespective of the actual costs we incur and we therefore carry the burden of any cost overruns. Under FPI contracts, we generally share with the U.S. government savings for cost underruns less than target costs and expenses for cost overruns exceeding target costs up to a negotiated ceiling price. We carry the entire burden of cost overruns exceeding the ceiling price amount under FPI contracts. Under cost reimbursable contracts, we are reimbursed for allowable costs and paid a fixed or performance-based fee, but we are generally not reimbursed for unauthorized costs exceeding a cost ceiling amount or costs not allowable under the contract or applicable regulations. If we are unable to control costs or if our initial cost estimates are incorrect, our profitability could be negatively affected, particularly under fixed-price development contracts. We may also experience cost underruns which would reduce contract value and related expected revenues, and we may be unable to expand the contract scope or secure additional work to offset the resulting lost revenues. While contracts for development programs with complex design and technical challenges are typically cost reimbursable, they can be FFP or FPI. In addition, other contracts in backlog are for the transition from development to production, which includes starting and stabilizing a manufacturing and test line while the final design is still being validated.</w:t>
      </w:r>
    </w:p>
    <w:p>
      <w:pPr>
        <w:spacing w:after="0" w:line="21" w:lineRule="exact"/>
        <w:rPr>
          <w:sz w:val="20"/>
          <w:szCs w:val="20"/>
          <w:color w:val="auto"/>
        </w:rPr>
      </w:pPr>
    </w:p>
    <w:p>
      <w:pPr>
        <w:ind w:right="340" w:firstLine="486"/>
        <w:spacing w:after="0" w:line="275" w:lineRule="auto"/>
        <w:rPr>
          <w:sz w:val="20"/>
          <w:szCs w:val="20"/>
          <w:color w:val="auto"/>
        </w:rPr>
      </w:pPr>
      <w:r>
        <w:rPr>
          <w:rFonts w:ascii="Arial" w:cs="Arial" w:eastAsia="Arial" w:hAnsi="Arial"/>
          <w:sz w:val="16"/>
          <w:szCs w:val="16"/>
          <w:color w:val="auto"/>
        </w:rPr>
        <w:t>Over the past several years, the DoD has increased its use of Other Transaction Authority (OTA) contracts, under which it awards research and development work without all of the procurement requirements that typically apply to DoD contracts, including justification of sole source awards. For example, we were awarded an OTA contract for the Lower Tier Air and Missile Defense Sensor (LTAMDS) in late 2019. OTAs may use fixed-price contracts during all phases of the contract, or mandated contract cost sharing (e.g., one-third of program costs). They may also require non-traditional subcontractor participation and impose other requirements that differ from our other DoD contracts. If we are unable to perform on our OTA contracts, including any applicable non-traditional requirements, it could negatively impact our results of operations, financial condition and liquidity.</w:t>
      </w:r>
    </w:p>
    <w:p>
      <w:pPr>
        <w:spacing w:after="0" w:line="4" w:lineRule="exact"/>
        <w:rPr>
          <w:sz w:val="20"/>
          <w:szCs w:val="20"/>
          <w:color w:val="auto"/>
        </w:rPr>
      </w:pPr>
    </w:p>
    <w:p>
      <w:pPr>
        <w:ind w:right="280" w:firstLine="486"/>
        <w:spacing w:after="0" w:line="248" w:lineRule="auto"/>
        <w:rPr>
          <w:sz w:val="20"/>
          <w:szCs w:val="20"/>
          <w:color w:val="auto"/>
        </w:rPr>
      </w:pPr>
      <w:r>
        <w:rPr>
          <w:rFonts w:ascii="Arial" w:cs="Arial" w:eastAsia="Arial" w:hAnsi="Arial"/>
          <w:sz w:val="18"/>
          <w:szCs w:val="18"/>
          <w:color w:val="auto"/>
        </w:rPr>
        <w:t>From time to time, we may begin performance under an undefinitized contract award with a not-to-exceed price prior to completing contract negotiations in order to support U.S. government priorities. Uncertainties in final contract price, specifications and terms, or loss of negotiating leverage associated with particularly long delays in contract definitization, may negatively affect our profitability.</w:t>
      </w:r>
    </w:p>
    <w:p>
      <w:pPr>
        <w:spacing w:after="0" w:line="20" w:lineRule="exact"/>
        <w:rPr>
          <w:sz w:val="20"/>
          <w:szCs w:val="20"/>
          <w:color w:val="auto"/>
        </w:rPr>
      </w:pPr>
    </w:p>
    <w:p>
      <w:pPr>
        <w:ind w:right="140" w:firstLine="486"/>
        <w:spacing w:after="0" w:line="261" w:lineRule="auto"/>
        <w:rPr>
          <w:sz w:val="20"/>
          <w:szCs w:val="20"/>
          <w:color w:val="auto"/>
        </w:rPr>
      </w:pPr>
      <w:r>
        <w:rPr>
          <w:rFonts w:ascii="Arial" w:cs="Arial" w:eastAsia="Arial" w:hAnsi="Arial"/>
          <w:sz w:val="18"/>
          <w:szCs w:val="18"/>
          <w:color w:val="auto"/>
        </w:rPr>
        <w:t>In addition, as discussed more fully below, our U.S. government contracts also require us to comply with extensive and evolving procurement rules and regulations and subject us to potential U.S. government audits, investigations, and disputes.</w:t>
      </w:r>
    </w:p>
    <w:p>
      <w:pPr>
        <w:spacing w:after="0" w:line="9" w:lineRule="exact"/>
        <w:rPr>
          <w:sz w:val="20"/>
          <w:szCs w:val="20"/>
          <w:color w:val="auto"/>
        </w:rPr>
      </w:pPr>
    </w:p>
    <w:p>
      <w:pPr>
        <w:ind w:right="360" w:firstLine="486"/>
        <w:spacing w:after="0" w:line="261" w:lineRule="auto"/>
        <w:rPr>
          <w:sz w:val="20"/>
          <w:szCs w:val="20"/>
          <w:color w:val="auto"/>
        </w:rPr>
      </w:pPr>
      <w:r>
        <w:rPr>
          <w:rFonts w:ascii="Arial" w:cs="Arial" w:eastAsia="Arial" w:hAnsi="Arial"/>
          <w:sz w:val="18"/>
          <w:szCs w:val="18"/>
          <w:color w:val="auto"/>
        </w:rPr>
        <w:t>We are also involved in programs that are classified by the U.S. government, which have security requirements that place limits on our ability to discuss our performance on these programs, including any risks, disputes and claims.</w:t>
      </w:r>
    </w:p>
    <w:p>
      <w:pPr>
        <w:spacing w:after="0" w:line="252" w:lineRule="exact"/>
        <w:rPr>
          <w:sz w:val="20"/>
          <w:szCs w:val="20"/>
          <w:color w:val="auto"/>
        </w:rPr>
      </w:pPr>
    </w:p>
    <w:p>
      <w:pPr>
        <w:ind w:right="420"/>
        <w:spacing w:after="0" w:line="299" w:lineRule="auto"/>
        <w:rPr>
          <w:sz w:val="20"/>
          <w:szCs w:val="20"/>
          <w:color w:val="auto"/>
        </w:rPr>
      </w:pPr>
      <w:r>
        <w:rPr>
          <w:rFonts w:ascii="Arial" w:cs="Arial" w:eastAsia="Arial" w:hAnsi="Arial"/>
          <w:sz w:val="16"/>
          <w:szCs w:val="16"/>
          <w:b w:val="1"/>
          <w:bCs w:val="1"/>
          <w:i w:val="1"/>
          <w:iCs w:val="1"/>
          <w:color w:val="auto"/>
        </w:rPr>
        <w:t>Our International Operations Subject Us to Economic Risk As Our Results of Operations and Liquidity May Be Adversely Affected by Changes in Foreign Currency Fluctuations, Economic Conditions, Political Factors, Trade Policies, and Changes in Local Government Regulation.</w:t>
      </w:r>
    </w:p>
    <w:p>
      <w:pPr>
        <w:spacing w:after="0" w:line="1" w:lineRule="exact"/>
        <w:rPr>
          <w:sz w:val="20"/>
          <w:szCs w:val="20"/>
          <w:color w:val="auto"/>
        </w:rPr>
      </w:pPr>
    </w:p>
    <w:p>
      <w:pPr>
        <w:ind w:right="60" w:firstLine="445"/>
        <w:spacing w:after="0" w:line="255" w:lineRule="auto"/>
        <w:rPr>
          <w:sz w:val="20"/>
          <w:szCs w:val="20"/>
          <w:color w:val="auto"/>
        </w:rPr>
      </w:pPr>
      <w:r>
        <w:rPr>
          <w:rFonts w:ascii="Arial" w:cs="Arial" w:eastAsia="Arial" w:hAnsi="Arial"/>
          <w:sz w:val="17"/>
          <w:szCs w:val="17"/>
          <w:color w:val="auto"/>
        </w:rPr>
        <w:t>We conduct our business on a global basis, with a significant portion of sales derived from international operations, including U.S. export sales. Changes in local and regional economic conditions, including fluctuations in exchange rates, may affect product demand and reported profits in our non-U.S. operations where transactions may be denominated in local currencies. In addition, currency fluctuations may affect the prices we pay suppliers for materials used in our products. As a result, our operating margins also may be negatively impacted by worldwide currency fluctuations that result in higher costs for certain cross-border transactions. Our financial statements are denominated in U.S. Dollars. Accordingly, fluctuations in exchange rates may also give rise to translation gains or losses when financial statements of non-U.S. operating units are translated into U.S. Dollars. A strengthening of the U.S. Dollar against other major foreign currencies could adversely affect our results of operations.</w:t>
      </w:r>
    </w:p>
    <w:p>
      <w:pPr>
        <w:spacing w:after="0" w:line="18" w:lineRule="exact"/>
        <w:rPr>
          <w:sz w:val="20"/>
          <w:szCs w:val="20"/>
          <w:color w:val="auto"/>
        </w:rPr>
      </w:pPr>
    </w:p>
    <w:p>
      <w:pPr>
        <w:ind w:right="20" w:firstLine="445"/>
        <w:spacing w:after="0"/>
        <w:rPr>
          <w:sz w:val="20"/>
          <w:szCs w:val="20"/>
          <w:color w:val="auto"/>
        </w:rPr>
      </w:pPr>
      <w:r>
        <w:rPr>
          <w:rFonts w:ascii="Arial" w:cs="Arial" w:eastAsia="Arial" w:hAnsi="Arial"/>
          <w:sz w:val="18"/>
          <w:szCs w:val="18"/>
          <w:color w:val="auto"/>
        </w:rPr>
        <w:t>In our commercial aerospace businesses, the majority of our sales are, consistent with established industry practice, transacted in U.S. Dollars, while the majority of costs at locations outside the U.S. are incurred in the applicable local currency (principally the Euro, the Canadian Dollar, the British Pound, and the Polish Zloty). For operating units with U.S. Dollar sales and local currency costs, there is foreign currency exposure that could impact our results of operations depending on market changes in the exchange rate of the U.S. Dollar against the applicable foreign currencies. In particular, Pratt &amp; Whitney Canada is especially susceptible to fluctuations in exchange rates for this reason. To manage certain exposures, we employ long-term hedging strategies associated with U.S. Dollar sales.</w:t>
      </w:r>
    </w:p>
    <w:p>
      <w:pPr>
        <w:spacing w:after="0" w:line="27" w:lineRule="exact"/>
        <w:rPr>
          <w:sz w:val="20"/>
          <w:szCs w:val="20"/>
          <w:color w:val="auto"/>
        </w:rPr>
      </w:pPr>
    </w:p>
    <w:p>
      <w:pPr>
        <w:ind w:right="140" w:firstLine="445"/>
        <w:spacing w:after="0" w:line="279" w:lineRule="auto"/>
        <w:rPr>
          <w:sz w:val="20"/>
          <w:szCs w:val="20"/>
          <w:color w:val="auto"/>
        </w:rPr>
      </w:pPr>
      <w:r>
        <w:rPr>
          <w:rFonts w:ascii="Arial" w:cs="Arial" w:eastAsia="Arial" w:hAnsi="Arial"/>
          <w:sz w:val="16"/>
          <w:szCs w:val="16"/>
          <w:color w:val="auto"/>
        </w:rPr>
        <w:t>Our international sales and operations are subject to risks associated with local government laws, regulations and policies, including those related to tariffs and trade barriers, investments, taxation, exchange controls, capital controls, employment regulations, and repatriation of earnings. Government policies on international trade and investments such as import quotas, capital controls, taxes or tariffs, whether adopted by individual governments or regional trade blocs, can affect demand for our products and services, impact the competitive position of our products or prevent us from being able to manufacture or sell products in certain countries. The implementation of more restrictive trade policies, including the imposition of tariffs, or the</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8" w:name="page59"/>
    <w:bookmarkEnd w:id="58"/>
    <w:p>
      <w:pPr>
        <w:spacing w:after="0" w:line="262" w:lineRule="auto"/>
        <w:rPr>
          <w:sz w:val="20"/>
          <w:szCs w:val="20"/>
          <w:color w:val="auto"/>
        </w:rPr>
      </w:pPr>
      <w:r>
        <w:rPr>
          <w:rFonts w:ascii="Arial" w:cs="Arial" w:eastAsia="Arial" w:hAnsi="Arial"/>
          <w:sz w:val="17"/>
          <w:szCs w:val="17"/>
          <w:color w:val="auto"/>
        </w:rPr>
        <w:t>renegotiation of existing trade agreements by the U.S. or by countries where we sell large quantities of products and services or procure supplies and other materials incorporated into our products, including in connection with the United Kingdom's withdrawal from the European Union, could negatively impact our business, results of operations and financial condition. For example, a government's adoption of "buy national" policies or retaliation by another government against such policies, such as tariffs, could have a negative impact on our results of operations.</w:t>
      </w:r>
    </w:p>
    <w:p>
      <w:pPr>
        <w:spacing w:after="0" w:line="10" w:lineRule="exact"/>
        <w:rPr>
          <w:sz w:val="20"/>
          <w:szCs w:val="20"/>
          <w:color w:val="auto"/>
        </w:rPr>
      </w:pPr>
    </w:p>
    <w:p>
      <w:pPr>
        <w:ind w:right="20" w:firstLine="445"/>
        <w:spacing w:after="0" w:line="241" w:lineRule="auto"/>
        <w:rPr>
          <w:sz w:val="20"/>
          <w:szCs w:val="20"/>
          <w:color w:val="auto"/>
        </w:rPr>
      </w:pPr>
      <w:r>
        <w:rPr>
          <w:rFonts w:ascii="Arial" w:cs="Arial" w:eastAsia="Arial" w:hAnsi="Arial"/>
          <w:sz w:val="18"/>
          <w:szCs w:val="18"/>
          <w:color w:val="auto"/>
        </w:rPr>
        <w:t>Our international sales and operations are also sensitive to changes in foreign national priorities, including government budgets, as well as to regional and local political and economic factors, including volatility in energy prices, changes in threat environments and geopolitical uncertainties, and changes in U.S. foreign policy. International transactions may involve increased financial and legal risks due to differing legal systems and customs and contract laws and regulations, and include contractual terms that differ from those of similar contracts in the U.S. or that may be interpreted differently in foreign countries.</w:t>
      </w:r>
    </w:p>
    <w:p>
      <w:pPr>
        <w:spacing w:after="0" w:line="27" w:lineRule="exact"/>
        <w:rPr>
          <w:sz w:val="20"/>
          <w:szCs w:val="20"/>
          <w:color w:val="auto"/>
        </w:rPr>
      </w:pPr>
    </w:p>
    <w:p>
      <w:pPr>
        <w:ind w:firstLine="445"/>
        <w:spacing w:after="0" w:line="248" w:lineRule="auto"/>
        <w:rPr>
          <w:sz w:val="20"/>
          <w:szCs w:val="20"/>
          <w:color w:val="auto"/>
        </w:rPr>
      </w:pPr>
      <w:r>
        <w:rPr>
          <w:rFonts w:ascii="Arial" w:cs="Arial" w:eastAsia="Arial" w:hAnsi="Arial"/>
          <w:sz w:val="18"/>
          <w:szCs w:val="18"/>
          <w:color w:val="auto"/>
        </w:rPr>
        <w:t>In addition, as discussed more fully below, our international sales also require us to comply with U.S. laws, regulations and policies, including the International Traffic in Arms Regulations (ITAR), the Export Administration Regulations (EAR), the Foreign Corrupt Practices Act (FCPA), and other anti-corruption, sanctions, and export laws and regulations.</w:t>
      </w:r>
    </w:p>
    <w:p>
      <w:pPr>
        <w:spacing w:after="0" w:line="20" w:lineRule="exact"/>
        <w:rPr>
          <w:sz w:val="20"/>
          <w:szCs w:val="20"/>
          <w:color w:val="auto"/>
        </w:rPr>
      </w:pPr>
    </w:p>
    <w:p>
      <w:pPr>
        <w:ind w:firstLine="445"/>
        <w:spacing w:after="0" w:line="268" w:lineRule="auto"/>
        <w:rPr>
          <w:sz w:val="20"/>
          <w:szCs w:val="20"/>
          <w:color w:val="auto"/>
        </w:rPr>
      </w:pPr>
      <w:r>
        <w:rPr>
          <w:rFonts w:ascii="Arial" w:cs="Arial" w:eastAsia="Arial" w:hAnsi="Arial"/>
          <w:sz w:val="16"/>
          <w:szCs w:val="16"/>
          <w:color w:val="auto"/>
        </w:rPr>
        <w:t>In addition, we conduct business in certain countries primarily for our commercial aerospace businesses including Argentina, Brazil, China, India, Indonesia, Mexico, Poland, Russia, South Africa, Turkey, Ukraine and countries in the Middle East and Central Asia, that carry high levels of currency, political, compliance and economic risk. We expect that sales to these and other emerging markets will continue to account for a significant portion of our commercial aerospace sales in the long term as our businesses evolve and as these and other developing nations and regions around the world increase their demand for our products, particularly our aerospace products. Emerging market operations can present many risks, including cultural differences (such as employment and business practices), volatility in gross domestic product, economic and government instability, the imposition of exchange and capital controls, and the risks associated with exporting components manufactured in those countries for incorporation into finished products completed in other countries. While these factors and their impact are difficult to predict, any one or more of them could have a material adverse effect on our competitive position, results of operations, cash flows or financial condition. Of note, in 2019 the U.S. government suspended Turkey’s participation in the F-35 Joint Strike Fighter program because Turkey accepted delivery of the Russian-built S-400 air and missile defense system. The U.S. has imposed, and may impose additional, sanctions on Turkey as a result of this or other political disputes. Turkish companies supply components, some of which are sole-sourced, to our aerospace businesses for commercial and military engines and aerospace products, as well as to our defense businesses. Depending upon the scope and timing of U.S. sanctions on Turkey and potential reciprocal actions, if any, such sanctions or actions could impact our sources of supply and could have a material adverse effect on our results of operations, cash flows or financial condition.</w:t>
      </w:r>
    </w:p>
    <w:p>
      <w:pPr>
        <w:spacing w:after="0" w:line="13" w:lineRule="exact"/>
        <w:rPr>
          <w:sz w:val="20"/>
          <w:szCs w:val="20"/>
          <w:color w:val="auto"/>
        </w:rPr>
      </w:pPr>
    </w:p>
    <w:p>
      <w:pPr>
        <w:ind w:firstLine="445"/>
        <w:spacing w:after="0" w:line="287" w:lineRule="auto"/>
        <w:rPr>
          <w:sz w:val="20"/>
          <w:szCs w:val="20"/>
          <w:color w:val="auto"/>
        </w:rPr>
      </w:pPr>
      <w:r>
        <w:rPr>
          <w:rFonts w:ascii="Arial" w:cs="Arial" w:eastAsia="Arial" w:hAnsi="Arial"/>
          <w:sz w:val="16"/>
          <w:szCs w:val="16"/>
          <w:color w:val="auto"/>
        </w:rPr>
        <w:t>Our international business faces substantial competition from both U.S. companies and foreign companies. In some instances, foreign companies may be owned by foreign governments or may receive loans, marketing subsidies and other assistance from their governments that may not be available to U.S. companies or our foreign subsidiaries. In addition, foreign companies may be subject to fewer restrictions on technology transfer than U.S. companies.</w:t>
      </w:r>
    </w:p>
    <w:p>
      <w:pPr>
        <w:spacing w:after="0" w:line="1" w:lineRule="exact"/>
        <w:rPr>
          <w:sz w:val="20"/>
          <w:szCs w:val="20"/>
          <w:color w:val="auto"/>
        </w:rPr>
      </w:pPr>
    </w:p>
    <w:p>
      <w:pPr>
        <w:ind w:right="140" w:firstLine="445"/>
        <w:spacing w:after="0" w:line="257" w:lineRule="auto"/>
        <w:rPr>
          <w:sz w:val="20"/>
          <w:szCs w:val="20"/>
          <w:color w:val="auto"/>
        </w:rPr>
      </w:pPr>
      <w:r>
        <w:rPr>
          <w:rFonts w:ascii="Arial" w:cs="Arial" w:eastAsia="Arial" w:hAnsi="Arial"/>
          <w:sz w:val="17"/>
          <w:szCs w:val="17"/>
          <w:color w:val="auto"/>
        </w:rPr>
        <w:t>Our international contracts, particularly for sales of defense products and services, may include industrial cooperation agreements requiring specific local purchases, manufacturing agreements, technology transfer agreements or financial support obligations, sometimes in the form of either offset obligations or in-country industrial participation (ICIP) agreements. Approvals of offset or ICIP thresholds and requirements may be subjective and time-consuming and may delay contract awards. Offset requirements may, in certain countries, include the creation of a joint venture with a local company that may control the venture. In addition, certain customers’ demands are increasing for greater offset or ICIP commitment levels, higher-value content, including the transfer of technologies and capabilities, and local production and economic development.</w:t>
      </w:r>
    </w:p>
    <w:p>
      <w:pPr>
        <w:spacing w:after="0" w:line="13" w:lineRule="exact"/>
        <w:rPr>
          <w:sz w:val="20"/>
          <w:szCs w:val="20"/>
          <w:color w:val="auto"/>
        </w:rPr>
      </w:pPr>
    </w:p>
    <w:p>
      <w:pPr>
        <w:ind w:right="80" w:firstLine="445"/>
        <w:spacing w:after="0" w:line="262" w:lineRule="auto"/>
        <w:rPr>
          <w:sz w:val="20"/>
          <w:szCs w:val="20"/>
          <w:color w:val="auto"/>
        </w:rPr>
      </w:pPr>
      <w:r>
        <w:rPr>
          <w:rFonts w:ascii="Arial" w:cs="Arial" w:eastAsia="Arial" w:hAnsi="Arial"/>
          <w:sz w:val="17"/>
          <w:szCs w:val="17"/>
          <w:color w:val="auto"/>
        </w:rPr>
        <w:t>We also are exposed to risks associated with using third-party foreign representatives and consultants for international sales, and teaming with international subcontractors, partners and suppliers in connection with international programs. As a result of the above factors, we could experience financial penalties and award and funding delays on international programs, our profitability on these programs could be negatively affected, and we could incur losses on these programs that could negatively impact our results of operations, financial condition and liquidity.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Performance Is Dependent on the Condition of the Aerospace Industry.</w:t>
      </w:r>
    </w:p>
    <w:p>
      <w:pPr>
        <w:spacing w:after="0" w:line="50" w:lineRule="exact"/>
        <w:rPr>
          <w:sz w:val="20"/>
          <w:szCs w:val="20"/>
          <w:color w:val="auto"/>
        </w:rPr>
      </w:pPr>
    </w:p>
    <w:p>
      <w:pPr>
        <w:ind w:right="240" w:firstLine="445"/>
        <w:spacing w:after="0" w:line="253" w:lineRule="auto"/>
        <w:rPr>
          <w:sz w:val="20"/>
          <w:szCs w:val="20"/>
          <w:color w:val="auto"/>
        </w:rPr>
      </w:pPr>
      <w:r>
        <w:rPr>
          <w:rFonts w:ascii="Arial" w:cs="Arial" w:eastAsia="Arial" w:hAnsi="Arial"/>
          <w:sz w:val="17"/>
          <w:szCs w:val="17"/>
          <w:color w:val="auto"/>
        </w:rPr>
        <w:t>Our aerospace businesses constitute a substantial portion of our financial results, and the performance of those businesses is directly tied to the economic conditions in the commercial aerospace industry, which is cyclical in nature. Capital spending and demand for aircraft engines, aerospace products and component aftermarket parts and services by commercial airlines, aircraft operators and aircraft manufacturers are influenced by a wide variety of factors, including current and predicted traffic levels, load factors, aircraft fuel prices, labor issues, airline profits, airline consolidation, bankruptcies, competition, the retirement of older aircraft, regulatory changes, terrorism and related safety concerns, general economic conditions, corporate profitability, cost reduction efforts and remaining performance obligations levels. In particular, tightening of credit in financial markets could adversely affect the ability of our customers and suppliers to obtain financing for significant purchases and operations, could result in a decrease in or cancellation of orders for our products and services, and could impact the ability of our customers to make payments. Similarly, such tightening of credit may adversely affect our supplier base and increase the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9" w:name="page60"/>
    <w:bookmarkEnd w:id="59"/>
    <w:p>
      <w:pPr>
        <w:spacing w:after="0" w:line="262" w:lineRule="auto"/>
        <w:rPr>
          <w:sz w:val="20"/>
          <w:szCs w:val="20"/>
          <w:color w:val="auto"/>
        </w:rPr>
      </w:pPr>
      <w:r>
        <w:rPr>
          <w:rFonts w:ascii="Arial" w:cs="Arial" w:eastAsia="Arial" w:hAnsi="Arial"/>
          <w:sz w:val="17"/>
          <w:szCs w:val="17"/>
          <w:color w:val="auto"/>
        </w:rPr>
        <w:t>potential for one or more of our suppliers to experience financial distress or bankruptcy. Any of these factors could reduce the sales and margins of our aerospace businesses. Other factors, including future terrorist actions, aviation safety concerns, pandemic health issues or major natural disasters, could also dramatically reduce the demand for commercial air travel, which could negatively impact the sales and margins of our aerospace businesses. For example, the COVID-19 pandemic has impacted, and continues to impact, our business, as described above.</w:t>
      </w:r>
    </w:p>
    <w:p>
      <w:pPr>
        <w:spacing w:after="0" w:line="10" w:lineRule="exact"/>
        <w:rPr>
          <w:sz w:val="20"/>
          <w:szCs w:val="20"/>
          <w:color w:val="auto"/>
        </w:rPr>
      </w:pPr>
    </w:p>
    <w:p>
      <w:pPr>
        <w:ind w:right="40" w:firstLine="445"/>
        <w:spacing w:after="0" w:line="271" w:lineRule="auto"/>
        <w:rPr>
          <w:sz w:val="20"/>
          <w:szCs w:val="20"/>
          <w:color w:val="auto"/>
        </w:rPr>
      </w:pPr>
      <w:r>
        <w:rPr>
          <w:rFonts w:ascii="Arial" w:cs="Arial" w:eastAsia="Arial" w:hAnsi="Arial"/>
          <w:sz w:val="16"/>
          <w:szCs w:val="16"/>
          <w:color w:val="auto"/>
        </w:rPr>
        <w:t>Additionally, because a substantial portion of product deliveries to commercial aerospace customers is scheduled for delivery beyond 2020, changes in economic conditions may cause customers to request that firm orders be rescheduled or canceled. At times, our aerospace businesses also enter into firm fixed-price or cost-share development contracts, which may require us to bear cost overruns related to unforeseen technical and design challenges that arise during the development and early production stages of the program. In addition, our aerospace businesses face intense competition from domestic and foreign manufacturers of new equipment and spare parts. Spare parts sales and aftermarket service trends are affected by similar factors, including usage, pricing, technological improvements, regulatory changes and the retirement of older aircraft. Furthermore, because of the lengthy research and development cycle involved in bringing products in these business segments to market, we cannot predict the economic conditions that will exist when any new product is ready to enter into service. A reduction in spending in the commercial aviation industry could have a significant effect on the demand for our products, which could have a material adverse effect on our competitive position, results of operations, cash flows or financial condition.</w:t>
      </w:r>
    </w:p>
    <w:p>
      <w:pPr>
        <w:spacing w:after="0" w:line="250"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b w:val="1"/>
          <w:bCs w:val="1"/>
          <w:i w:val="1"/>
          <w:iCs w:val="1"/>
          <w:color w:val="auto"/>
        </w:rPr>
        <w:t>We Use a Variety of Raw Materials, Supplier-Provided Parts, Components, Sub-Systems and Contract Manufacturing Services in Our Businesses, and Significant Shortages, Supplier Capacity Constraints, Supplier Production Disruptions or Price Increases Could Increase Our Operating Costs and Adversely Impact the Competitive Positions of Our Products.</w:t>
      </w:r>
    </w:p>
    <w:p>
      <w:pPr>
        <w:spacing w:after="0" w:line="20" w:lineRule="exact"/>
        <w:rPr>
          <w:sz w:val="20"/>
          <w:szCs w:val="20"/>
          <w:color w:val="auto"/>
        </w:rPr>
      </w:pPr>
    </w:p>
    <w:p>
      <w:pPr>
        <w:ind w:right="20" w:firstLine="445"/>
        <w:spacing w:after="0" w:line="252" w:lineRule="auto"/>
        <w:rPr>
          <w:sz w:val="20"/>
          <w:szCs w:val="20"/>
          <w:color w:val="auto"/>
        </w:rPr>
      </w:pPr>
      <w:r>
        <w:rPr>
          <w:rFonts w:ascii="Arial" w:cs="Arial" w:eastAsia="Arial" w:hAnsi="Arial"/>
          <w:sz w:val="17"/>
          <w:szCs w:val="17"/>
          <w:color w:val="auto"/>
        </w:rPr>
        <w:t>Our reliance on U.S. and non-U.S. suppliers (including third-party manufacturing suppliers, subcontractors and service providers) and commodity markets to secure raw materials, parts, components and sub-systems used in our products exposes us to volatility in the prices and availability of these materials and services. In many instances, we depend upon a single source of supply, manufacturing, services support or assembly, or participate in commodity markets that may be subject to allocations of limited supplies by suppliers. Our defense businesses are subject to specific procurement requirements that limit the types of materials they use, which may further limit the suppliers and subcontractors they may utilize. They also must require suppliers to comply with various DoD cybersecurity requirements. A disruption in deliveries from our suppliers, supplier capacity constraints, supplier production disruptions, supplier quality issues, closing, bankruptcy or financial difficulties of our suppliers, price increases, or decreased availability of raw materials or commodities, including as a result of war, natural disaster, health pandemic or other business continuity events, could have a material adverse effect on our ability to meet our commitments to customers or increase our operating costs. We believe that our supply management and production practices are based on an appropriate balancing of the foreseeable risks and the costs of alternative practices. Nonetheless, price increases, supplier capacity constraints, supplier production disruptions or the unavailability of some raw materials may have a material adverse effect on our competitive position, results of operations, cash flows or financial condition. For example, the COVID-19 pandemic has impacted, and continues to impact, our supply chain, as described above.</w:t>
      </w:r>
    </w:p>
    <w:p>
      <w:pPr>
        <w:spacing w:after="0" w:line="261"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b w:val="1"/>
          <w:bCs w:val="1"/>
          <w:i w:val="1"/>
          <w:iCs w:val="1"/>
          <w:color w:val="auto"/>
        </w:rPr>
        <w:t>We Design, Manufacture and Service Products that Incorporate Advanced Technologies; The Introduction of New Products and Technologies Involves Risks and We May Not Realize the Degree or Timing of Benefits Initially Anticipated; Competition within Our Markets May Reduce Our Revenues and Market Share and Limit Our Future Market Opportunities.</w:t>
      </w:r>
    </w:p>
    <w:p>
      <w:pPr>
        <w:spacing w:after="0" w:line="20" w:lineRule="exact"/>
        <w:rPr>
          <w:sz w:val="20"/>
          <w:szCs w:val="20"/>
          <w:color w:val="auto"/>
        </w:rPr>
      </w:pPr>
    </w:p>
    <w:p>
      <w:pPr>
        <w:jc w:val="both"/>
        <w:ind w:right="80" w:firstLine="445"/>
        <w:spacing w:after="0" w:line="287" w:lineRule="auto"/>
        <w:rPr>
          <w:sz w:val="20"/>
          <w:szCs w:val="20"/>
          <w:color w:val="auto"/>
        </w:rPr>
      </w:pPr>
      <w:r>
        <w:rPr>
          <w:rFonts w:ascii="Arial" w:cs="Arial" w:eastAsia="Arial" w:hAnsi="Arial"/>
          <w:sz w:val="16"/>
          <w:szCs w:val="16"/>
          <w:color w:val="auto"/>
        </w:rPr>
        <w:t>We seek to achieve growth through the design, development, production, sale and support of innovative commercial aerospace and defense systems and products that incorporate advanced technologies. The product, program and service needs of our customers change and evolve regularly, and we invest substantial amounts in research and development efforts to pursue advancements in a wide range of technologies, products and services.</w:t>
      </w:r>
    </w:p>
    <w:p>
      <w:pPr>
        <w:spacing w:after="0" w:line="1" w:lineRule="exact"/>
        <w:rPr>
          <w:sz w:val="20"/>
          <w:szCs w:val="20"/>
          <w:color w:val="auto"/>
        </w:rPr>
      </w:pPr>
    </w:p>
    <w:p>
      <w:pPr>
        <w:ind w:right="100" w:firstLine="405"/>
        <w:spacing w:after="0"/>
        <w:rPr>
          <w:sz w:val="20"/>
          <w:szCs w:val="20"/>
          <w:color w:val="auto"/>
        </w:rPr>
      </w:pPr>
      <w:r>
        <w:rPr>
          <w:rFonts w:ascii="Arial" w:cs="Arial" w:eastAsia="Arial" w:hAnsi="Arial"/>
          <w:sz w:val="18"/>
          <w:szCs w:val="18"/>
          <w:color w:val="auto"/>
        </w:rPr>
        <w:t>Of particular note, Pratt &amp; Whitney is currently producing and delivering the PW1000G Geared Turbofan engine to power various aircraft, including the A320neo family of aircraft. The level of orders received for the Geared Turbofan family of engines, coupled with a requirement to achieve mature production levels in a very short time frame, require significant additional manufacturing and supply chain capacity. If any of our production ramp-up efforts are delayed, if suppliers cannot timely deliver or perform to our standards, and/or if we identify or experience issues with in-service engines, we may not meet customers’ delivery schedules, which could result in material additional costs, including liquidated damages or other liabilities that could be assessed under existing contracts.</w:t>
      </w:r>
    </w:p>
    <w:p>
      <w:pPr>
        <w:spacing w:after="0" w:line="27" w:lineRule="exact"/>
        <w:rPr>
          <w:sz w:val="20"/>
          <w:szCs w:val="20"/>
          <w:color w:val="auto"/>
        </w:rPr>
      </w:pPr>
    </w:p>
    <w:p>
      <w:pPr>
        <w:ind w:right="160" w:firstLine="405"/>
        <w:spacing w:after="0" w:line="281" w:lineRule="auto"/>
        <w:rPr>
          <w:sz w:val="20"/>
          <w:szCs w:val="20"/>
          <w:color w:val="auto"/>
        </w:rPr>
      </w:pPr>
      <w:r>
        <w:rPr>
          <w:rFonts w:ascii="Arial" w:cs="Arial" w:eastAsia="Arial" w:hAnsi="Arial"/>
          <w:sz w:val="17"/>
          <w:szCs w:val="17"/>
          <w:color w:val="auto"/>
        </w:rPr>
        <w:t>Our defense businesses currently have significant development programs in key technological areas on which the U.S. government is focusing, such as interceptors, space-based sensors, high-energy lasers, hypersonics, counter-hypersonics and advanced propulsion systems.</w:t>
      </w:r>
    </w:p>
    <w:p>
      <w:pPr>
        <w:spacing w:after="0" w:line="1" w:lineRule="exact"/>
        <w:rPr>
          <w:sz w:val="20"/>
          <w:szCs w:val="20"/>
          <w:color w:val="auto"/>
        </w:rPr>
      </w:pPr>
    </w:p>
    <w:p>
      <w:pPr>
        <w:ind w:right="240" w:firstLine="405"/>
        <w:spacing w:after="0" w:line="241" w:lineRule="auto"/>
        <w:rPr>
          <w:sz w:val="20"/>
          <w:szCs w:val="20"/>
          <w:color w:val="auto"/>
        </w:rPr>
      </w:pPr>
      <w:r>
        <w:rPr>
          <w:rFonts w:ascii="Arial" w:cs="Arial" w:eastAsia="Arial" w:hAnsi="Arial"/>
          <w:sz w:val="18"/>
          <w:szCs w:val="18"/>
          <w:color w:val="auto"/>
        </w:rPr>
        <w:t>Our ability to realize the anticipated benefits of our technological advancements depends on a variety of factors, including meeting development, production, certification and regulatory approval schedules; execution of internal and external performance plans; availability of supplier and internally produced parts and materials; performance of suppliers and subcontractors; availability of supplier and internal facility capacity to perform maintenance, repair and overhaul services on our products; hiring and training of qualified personnel; achieving cost and production efficiencies; identification of emerging</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0" w:name="page61"/>
    <w:bookmarkEnd w:id="60"/>
    <w:p>
      <w:pPr>
        <w:spacing w:after="0" w:line="278" w:lineRule="auto"/>
        <w:rPr>
          <w:sz w:val="20"/>
          <w:szCs w:val="20"/>
          <w:color w:val="auto"/>
        </w:rPr>
      </w:pPr>
      <w:r>
        <w:rPr>
          <w:rFonts w:ascii="Arial" w:cs="Arial" w:eastAsia="Arial" w:hAnsi="Arial"/>
          <w:sz w:val="16"/>
          <w:szCs w:val="16"/>
          <w:color w:val="auto"/>
        </w:rPr>
        <w:t>technological trends in our target end-markets; validation of innovative technologies; the level of customer interest in new technologies and products; and customer acceptance of products we manufacture or that incorporate technologies we develop. For example, our customers manufacture end products and larger aerospace systems that incorporate certain of our aerospace products. These systems and end products may also incorporate additional technologies manufactured by third parties and involve additional risks and uncertainties. As a result, the performance and market acceptance of these larger systems and end products could affect the level of customer interest in and acceptance of our products in the marketplace.</w:t>
      </w:r>
    </w:p>
    <w:p>
      <w:pPr>
        <w:spacing w:after="0" w:line="1" w:lineRule="exact"/>
        <w:rPr>
          <w:sz w:val="20"/>
          <w:szCs w:val="20"/>
          <w:color w:val="auto"/>
        </w:rPr>
      </w:pPr>
    </w:p>
    <w:p>
      <w:pPr>
        <w:ind w:right="80" w:firstLine="445"/>
        <w:spacing w:after="0" w:line="253" w:lineRule="auto"/>
        <w:rPr>
          <w:sz w:val="20"/>
          <w:szCs w:val="20"/>
          <w:color w:val="auto"/>
        </w:rPr>
      </w:pPr>
      <w:r>
        <w:rPr>
          <w:rFonts w:ascii="Arial" w:cs="Arial" w:eastAsia="Arial" w:hAnsi="Arial"/>
          <w:sz w:val="17"/>
          <w:szCs w:val="17"/>
          <w:color w:val="auto"/>
        </w:rPr>
        <w:t>Development efforts divert resources from other potential investments in our businesses, and these efforts may not lead to the development of new technologies or products on a timely basis or meet the needs of our customers as fully as competitive offerings. In addition, the markets for our products or products that incorporate our technologies may not develop or grow as we anticipate. We or our customers, suppliers or subcontractors may encounter difficulties in developing and producing new products and services, and may not realize the degree or timing of benefits initially anticipated or may otherwise suffer significant adverse financial consequences. Due to the design complexity of our products or those of our customers or third party manufacturers that incorporate our products into theirs or our customers’ products, we may experience delays in completing the development and introduction of new products or we may experience the suspension of production after these products enter into service due to safety concerns. Delays and/or suspension of production could result in increased development costs or deflect resources from other projects. In particular, we cannot predict with certainty whether, when and in what quantities our aerospace businesses will produce and sell aircraft engines, aircraft systems and components, and other products currently in development, pending required certifications or after entry into service.</w:t>
      </w:r>
    </w:p>
    <w:p>
      <w:pPr>
        <w:spacing w:after="0" w:line="18" w:lineRule="exact"/>
        <w:rPr>
          <w:sz w:val="20"/>
          <w:szCs w:val="20"/>
          <w:color w:val="auto"/>
        </w:rPr>
      </w:pPr>
    </w:p>
    <w:p>
      <w:pPr>
        <w:ind w:right="20" w:firstLine="445"/>
        <w:spacing w:after="0" w:line="252" w:lineRule="auto"/>
        <w:rPr>
          <w:sz w:val="20"/>
          <w:szCs w:val="20"/>
          <w:color w:val="auto"/>
        </w:rPr>
      </w:pPr>
      <w:r>
        <w:rPr>
          <w:rFonts w:ascii="Arial" w:cs="Arial" w:eastAsia="Arial" w:hAnsi="Arial"/>
          <w:sz w:val="17"/>
          <w:szCs w:val="17"/>
          <w:color w:val="auto"/>
        </w:rPr>
        <w:t xml:space="preserve">We operate in highly competitive markets and our competitors may have more extensive or more specialized engineering, manufacturing, marketing and servicing capabilities than we do. Our contracts are typically awarded on a competitive basis. Our bids are based upon, among other items, the cost to provide the products and services. To generate an acceptable return on our investment in these contracts, we must be able to accurately estimate our costs to provide the services and deliver the products and to be able to complete the contracts in a timely manner. If we fail to accurately estimate our costs or the time required to complete a contract, the profitability of our contracts may be materially and adversely affected. Some of our contracts provide for liquidated damages in the event that we are unable to perform and deliver in accordance with the contractual specifications and schedule. In addition, we may face customer-directed cost reduction targets that could have a material adverse effect on the profitability of our contracts if these targets are not achieved when required. Moreover, in certain cases for DoD awards, </w:t>
      </w:r>
      <w:r>
        <w:rPr>
          <w:rFonts w:ascii="Arial" w:cs="Arial" w:eastAsia="Arial" w:hAnsi="Arial"/>
          <w:sz w:val="17"/>
          <w:szCs w:val="17"/>
          <w:color w:val="212529"/>
        </w:rPr>
        <w:t>we have seen highly competitive pricing, in which a bidder may anticipate making a</w:t>
      </w:r>
      <w:r>
        <w:rPr>
          <w:rFonts w:ascii="Arial" w:cs="Arial" w:eastAsia="Arial" w:hAnsi="Arial"/>
          <w:sz w:val="17"/>
          <w:szCs w:val="17"/>
          <w:color w:val="auto"/>
        </w:rPr>
        <w:t xml:space="preserve"> </w:t>
      </w:r>
      <w:r>
        <w:rPr>
          <w:rFonts w:ascii="Arial" w:cs="Arial" w:eastAsia="Arial" w:hAnsi="Arial"/>
          <w:sz w:val="17"/>
          <w:szCs w:val="17"/>
          <w:color w:val="212529"/>
        </w:rPr>
        <w:t>substantial investment in a program in order to win the work. In addition, bid protests from unsuccessful bidders on new program awards are frequent. Generally, a bid protest will delay the start of contract activities, delay earnings, and could result in the award decision being overturned and require a re-bid of the contract.</w:t>
      </w:r>
    </w:p>
    <w:p>
      <w:pPr>
        <w:spacing w:after="0" w:line="24" w:lineRule="exact"/>
        <w:rPr>
          <w:sz w:val="20"/>
          <w:szCs w:val="20"/>
          <w:color w:val="auto"/>
        </w:rPr>
      </w:pPr>
    </w:p>
    <w:p>
      <w:pPr>
        <w:ind w:right="80" w:firstLine="445"/>
        <w:spacing w:after="0" w:line="253" w:lineRule="auto"/>
        <w:rPr>
          <w:sz w:val="20"/>
          <w:szCs w:val="20"/>
          <w:color w:val="auto"/>
        </w:rPr>
      </w:pPr>
      <w:r>
        <w:rPr>
          <w:rFonts w:ascii="Arial" w:cs="Arial" w:eastAsia="Arial" w:hAnsi="Arial"/>
          <w:sz w:val="17"/>
          <w:szCs w:val="17"/>
          <w:color w:val="auto"/>
        </w:rPr>
        <w:t xml:space="preserve">Furthermore, our competitors, including our customers, may develop competing technologies which gain market acceptance in advance of or instead of our products. The possibility also exists that our competitors or customers might develop new technologies or offerings that might cause our existing technologies and offerings to become obsolete. In addition, the possibility exists that competitors or customers will develop aftermarket services and aftermarket parts for our products that attract customers and adversely impact our return on investment on new products. </w:t>
      </w:r>
      <w:r>
        <w:rPr>
          <w:rFonts w:ascii="Arial" w:cs="Arial" w:eastAsia="Arial" w:hAnsi="Arial"/>
          <w:sz w:val="17"/>
          <w:szCs w:val="17"/>
          <w:color w:val="212529"/>
        </w:rPr>
        <w:t>We also anticipate companies</w:t>
      </w:r>
      <w:r>
        <w:rPr>
          <w:rFonts w:ascii="Arial" w:cs="Arial" w:eastAsia="Arial" w:hAnsi="Arial"/>
          <w:sz w:val="17"/>
          <w:szCs w:val="17"/>
          <w:color w:val="auto"/>
        </w:rPr>
        <w:t xml:space="preserve"> </w:t>
      </w:r>
      <w:r>
        <w:rPr>
          <w:rFonts w:ascii="Arial" w:cs="Arial" w:eastAsia="Arial" w:hAnsi="Arial"/>
          <w:sz w:val="17"/>
          <w:szCs w:val="17"/>
          <w:color w:val="212529"/>
        </w:rPr>
        <w:t>continuing to enhance their competitive position against our defense businesses as a result of continued domestic and cross-border defense industry consolidation and the expansion of competitors’ capabilities throughout the supply chain through vertical integration. We are also facing heightened competition in our domestic and international markets from foreign and multinational firms. Additionally, some customers, including the DoD, are increasingly turning to commercial contractors, rather than traditional defense contractors, for information technology and other support work. If we are unable to continue to compete successfully against our current or future competitors in our core markets, we may experience declines in revenues and market share.</w:t>
      </w:r>
    </w:p>
    <w:p>
      <w:pPr>
        <w:spacing w:after="0" w:line="1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Any of the foregoing could have a material adverse effect on our competitive position, results of operations, cash flows or financial condition.</w:t>
      </w:r>
    </w:p>
    <w:p>
      <w:pPr>
        <w:spacing w:after="0" w:line="304" w:lineRule="exact"/>
        <w:rPr>
          <w:sz w:val="20"/>
          <w:szCs w:val="20"/>
          <w:color w:val="auto"/>
        </w:rPr>
      </w:pPr>
    </w:p>
    <w:p>
      <w:pPr>
        <w:ind w:right="320"/>
        <w:spacing w:after="0" w:line="270" w:lineRule="auto"/>
        <w:rPr>
          <w:sz w:val="20"/>
          <w:szCs w:val="20"/>
          <w:color w:val="auto"/>
        </w:rPr>
      </w:pPr>
      <w:r>
        <w:rPr>
          <w:rFonts w:ascii="Arial" w:cs="Arial" w:eastAsia="Arial" w:hAnsi="Arial"/>
          <w:sz w:val="17"/>
          <w:szCs w:val="17"/>
          <w:b w:val="1"/>
          <w:bCs w:val="1"/>
          <w:i w:val="1"/>
          <w:iCs w:val="1"/>
          <w:color w:val="auto"/>
        </w:rPr>
        <w:t>Exports and Imports of Certain of Our Products Are Subject to Various Export Control, Sanctions and Import Regulations and May Require Authorization From the U.S. Department of State, the U.S. Department of Commerce, the U.S. Department of the Treasury, the U.S. Department of Homeland Security, the U.S. Department of Justice or Regulatory Agencies of Other Countries.</w:t>
      </w:r>
    </w:p>
    <w:p>
      <w:pPr>
        <w:spacing w:after="0" w:line="2" w:lineRule="exact"/>
        <w:rPr>
          <w:sz w:val="20"/>
          <w:szCs w:val="20"/>
          <w:color w:val="auto"/>
        </w:rPr>
      </w:pPr>
    </w:p>
    <w:p>
      <w:pPr>
        <w:ind w:right="20" w:firstLine="405"/>
        <w:spacing w:after="0" w:line="271" w:lineRule="auto"/>
        <w:rPr>
          <w:sz w:val="20"/>
          <w:szCs w:val="20"/>
          <w:color w:val="auto"/>
        </w:rPr>
      </w:pPr>
      <w:r>
        <w:rPr>
          <w:rFonts w:ascii="Arial" w:cs="Arial" w:eastAsia="Arial" w:hAnsi="Arial"/>
          <w:sz w:val="16"/>
          <w:szCs w:val="16"/>
          <w:color w:val="auto"/>
        </w:rPr>
        <w:t>We must comply with various laws and regulations relating to the export and import of products, services and technology from and into the U.S. and other countries having jurisdiction over our operations. In the U.S., these laws and regulations include, among others, the Export Administration Regulations (EAR) administered by the U.S. Department of Commerce, the International Traffic in Arms Regulations (ITAR) administered by the U.S. Department of State, embargoes and sanctions regulations administered by the U.S. Department of the Treasury, and import regulations administered by the U.S. Department of Homeland Security and the U.S. Department of Justice. Certain of our products, services and technologies have military or strategic applications and are on the U.S. Munitions List of the ITAR and the Commerce Control List of the EAR or are otherwise subject to the EAR, or on the U.S. Munitions Import List and we are required to obtain licenses and authorizations from the cognizant U.S. government agencies before selling these products outside of the U.S. or importing these products into the U.S. U.S. foreign policy may affect the licensing processor or otherwise prevent us from engaging in business dealings with certain individuals, entities or countries. Any failure by us, our customers or our suppliers to comply with these laws and</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1" w:name="page62"/>
    <w:bookmarkEnd w:id="61"/>
    <w:p>
      <w:pPr>
        <w:ind w:right="40"/>
        <w:spacing w:after="0" w:line="270" w:lineRule="auto"/>
        <w:rPr>
          <w:sz w:val="20"/>
          <w:szCs w:val="20"/>
          <w:color w:val="auto"/>
        </w:rPr>
      </w:pPr>
      <w:r>
        <w:rPr>
          <w:rFonts w:ascii="Arial" w:cs="Arial" w:eastAsia="Arial" w:hAnsi="Arial"/>
          <w:sz w:val="16"/>
          <w:szCs w:val="16"/>
          <w:color w:val="auto"/>
        </w:rPr>
        <w:t>regulations could result in civil or criminal penalties, fines, seizure of our products, adverse publicity, restrictions on our ability to export or import our products, or the suspension or debarment from doing business with the U.S. government. Moreover, any changes in export control, sanctions or import regulations may further restrict the export of our products or services, and the possibility of such changes requires constant monitoring to ensure we remain compliant. Our ability to obtain required licenses and authorizations on a timely basis or at all is subject to risks and uncertainties, including changing U.S. government policies or laws or delays in Congressional action due to geopolitical and other factors. Some of our direct commercial sale contracts with international customers have requirements relating to these licenses and authorizations and may permit the customer to terminate the contract if we fail to receive these approvals in a timely manner. If we are not successful in obtaining or maintaining the necessary licenses or authorizations in a timely manner, our sales relating to those approvals may be reversed, prevented or delayed. We have several direct commercial sales contracts for precision guided munitions with certain Middle Eastern customers for which U.S. government approvals had been delayed. Any restrictions on the export or import of our products or product lines could have a material adverse effect on our competitive position, results of operations, cash flows or financial condition.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U.S. Government Contractor, We are Subject to Risks Relating to U.S. Government Audits, Investigations, and Disputes.</w:t>
      </w:r>
    </w:p>
    <w:p>
      <w:pPr>
        <w:spacing w:after="0" w:line="50"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color w:val="auto"/>
        </w:rPr>
        <w:t>We are subject to U.S. government investigations relating to our U.S. government contracts. Such U.S. government investigations often take years to complete and could result in administrative, civil or criminal liabilities, including repayments, fines, treble and other damages, forfeitures, restitution or penalties, or could lead to suspension or debarment of U.S. government contracting or of export privileges. For instance, if we or one of our business units were charged with wrongdoing in connection with a U.S. government investigation (including fraud, or violation of certain environmental or export laws, as further described below), the U.S. government could suspend us from bidding on or receiving awards of new U.S. government contracts pending the completion of legal proceedings. If convicted or found liable, the U.S. government could fine and debar us from new U.S. government contracting for a period generally not to exceed three years and could void any contracts found to be tainted by fraud. We also could suffer reputational harm if allegations of impropriety were made against us, even if such allegations are later determined to be unsubstantiated.</w:t>
      </w:r>
    </w:p>
    <w:p>
      <w:pPr>
        <w:spacing w:after="0" w:line="19" w:lineRule="exact"/>
        <w:rPr>
          <w:sz w:val="20"/>
          <w:szCs w:val="20"/>
          <w:color w:val="auto"/>
        </w:rPr>
      </w:pPr>
    </w:p>
    <w:p>
      <w:pPr>
        <w:ind w:firstLine="648"/>
        <w:spacing w:after="0" w:line="268" w:lineRule="auto"/>
        <w:rPr>
          <w:sz w:val="20"/>
          <w:szCs w:val="20"/>
          <w:color w:val="auto"/>
        </w:rPr>
      </w:pPr>
      <w:r>
        <w:rPr>
          <w:rFonts w:ascii="Arial" w:cs="Arial" w:eastAsia="Arial" w:hAnsi="Arial"/>
          <w:sz w:val="16"/>
          <w:szCs w:val="16"/>
          <w:color w:val="auto"/>
        </w:rPr>
        <w:t xml:space="preserve">Further, our U.S. government contracts are subject to audit and we have received audit reports recommending the reduction of certain contract prices because, for example, cost or pricing data or cost accounting practices used to price and negotiate those contracts may not have conformed to government regulations. Some of these audit reports recommend that certain payments be repaid, delayed, or withheld, and may involve substantial amounts, which could, if the audit reports’ theories were to prevail in litigation, also have future impacts such as increasing the costs absorbed by our commercial engine businesses. We have made voluntary refunds in those cases we believe appropriate, have settled some allegations and, in some cases, continue to negotiate and/or litigate. We may be, and have been, required to make payments into escrow of disputed liabilities while the related litigation is pending. If the litigation is resolved in our favor, any such payments will be returned to us with interest. </w:t>
      </w:r>
      <w:r>
        <w:rPr>
          <w:rFonts w:ascii="Arial" w:cs="Arial" w:eastAsia="Arial" w:hAnsi="Arial"/>
          <w:sz w:val="16"/>
          <w:szCs w:val="16"/>
          <w:color w:val="212529"/>
        </w:rPr>
        <w:t>The Defense Contract Audit Agency (DCAA) and</w:t>
      </w:r>
      <w:r>
        <w:rPr>
          <w:rFonts w:ascii="Arial" w:cs="Arial" w:eastAsia="Arial" w:hAnsi="Arial"/>
          <w:sz w:val="16"/>
          <w:szCs w:val="16"/>
          <w:color w:val="auto"/>
        </w:rPr>
        <w:t xml:space="preserve"> </w:t>
      </w:r>
      <w:r>
        <w:rPr>
          <w:rFonts w:ascii="Arial" w:cs="Arial" w:eastAsia="Arial" w:hAnsi="Arial"/>
          <w:sz w:val="16"/>
          <w:szCs w:val="16"/>
          <w:color w:val="212529"/>
        </w:rPr>
        <w:t>the Defense Contract Management Agency (DCMA) also review the adequacy of and our compliance with our internal control systems and policies, including our accounting, purchasing, property, estimating, earned value management and material management accounting systems. Our final allowable incurred costs for each year are subject to audit and have from time to time resulted in disputes between us and the U.S. government, including DCMA claims against Pratt &amp; Whitney to recover payments for alleged noncompliance with cost accounting standards. In some cases, the DOJ has convened grand juries to investigate possible irregularities in our costs. Any costs found to be improperly allocated to a specific contract will not be reimbursed or must be refunded if already reimbursed. An adverse outcome of any audit or investigation could result in civil and criminal penalties and fines, which could negatively impact our results of operations, financial condition and liquidity. In addition, if allegations of impropriety were made against us, we could suffer serious reputational harm, which could negatively affect our financial position, results of operations and liquidity.</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Litigation, Environmental, Product Safety, Anti-Corruption and Other Legal and Compliance Risks.</w:t>
      </w:r>
    </w:p>
    <w:p>
      <w:pPr>
        <w:spacing w:after="0" w:line="50" w:lineRule="exact"/>
        <w:rPr>
          <w:sz w:val="20"/>
          <w:szCs w:val="20"/>
          <w:color w:val="auto"/>
        </w:rPr>
      </w:pPr>
    </w:p>
    <w:p>
      <w:pPr>
        <w:ind w:right="20" w:firstLine="445"/>
        <w:spacing w:after="0" w:line="270" w:lineRule="auto"/>
        <w:rPr>
          <w:sz w:val="20"/>
          <w:szCs w:val="20"/>
          <w:color w:val="auto"/>
        </w:rPr>
      </w:pPr>
      <w:r>
        <w:rPr>
          <w:rFonts w:ascii="Arial" w:cs="Arial" w:eastAsia="Arial" w:hAnsi="Arial"/>
          <w:sz w:val="16"/>
          <w:szCs w:val="16"/>
          <w:color w:val="auto"/>
        </w:rPr>
        <w:t>We are subject to a variety of litigation and legal compliance risks. These risks relate to, among other things, product safety, personal injuries, intellectual property rights, contract-related claims, government contracts, taxes, environmental matters, competition laws and laws governing improper business practices. We or one of our businesses could be charged with wrongdoing as a result of such matters. If convicted or found liable, we could be subject to significant fines, penalties, repayments, or other damages (in certain cases, treble damages). As a global business, we are subject to complex laws and regulations in the U.S. and in other countries in which we operate. Those laws and regulations may be interpreted in different ways. They may also change from time to time, as may related interpretations and other guidance. Changes in laws or regulations could result in higher expenses. Uncertainty relating to laws or regulations may also affect how we conduct our operations and structure our investments and could limit our ability to enforce our rights. Changes in environmental and climate change laws or regulations, including laws relating to greenhouse gas emissions, could lead to new or additional investment in product designs and could increase environmental compliance expenditures, including increased energy and raw materials costs. Climate-related events also could disrupt our businesses and require us to incur additional costs.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2" w:name="page63"/>
    <w:bookmarkEnd w:id="62"/>
    <w:p>
      <w:pPr>
        <w:ind w:firstLine="405"/>
        <w:spacing w:after="0" w:line="267" w:lineRule="auto"/>
        <w:rPr>
          <w:sz w:val="20"/>
          <w:szCs w:val="20"/>
          <w:color w:val="auto"/>
        </w:rPr>
      </w:pPr>
      <w:r>
        <w:rPr>
          <w:rFonts w:ascii="Arial" w:cs="Arial" w:eastAsia="Arial" w:hAnsi="Arial"/>
          <w:sz w:val="16"/>
          <w:szCs w:val="16"/>
          <w:color w:val="212529"/>
        </w:rPr>
        <w:t xml:space="preserve">We use hazardous substances and generate hazardous wastes in our operations. As a result, we are subject to potentially material liabilities related to personal injuries or property damage that may be caused by hazardous substance releases and exposures. </w:t>
      </w:r>
      <w:r>
        <w:rPr>
          <w:rFonts w:ascii="Arial" w:cs="Arial" w:eastAsia="Arial" w:hAnsi="Arial"/>
          <w:sz w:val="16"/>
          <w:szCs w:val="16"/>
          <w:color w:val="000000"/>
        </w:rPr>
        <w:t>Personal injury lawsuits may involve individual</w:t>
      </w:r>
      <w:r>
        <w:rPr>
          <w:rFonts w:ascii="Arial" w:cs="Arial" w:eastAsia="Arial" w:hAnsi="Arial"/>
          <w:sz w:val="16"/>
          <w:szCs w:val="16"/>
          <w:color w:val="212529"/>
        </w:rPr>
        <w:t xml:space="preserve"> </w:t>
      </w:r>
      <w:r>
        <w:rPr>
          <w:rFonts w:ascii="Arial" w:cs="Arial" w:eastAsia="Arial" w:hAnsi="Arial"/>
          <w:sz w:val="16"/>
          <w:szCs w:val="16"/>
          <w:color w:val="000000"/>
        </w:rPr>
        <w:t xml:space="preserve">and purported class actions alleging that contaminants originating from our current or former products or operating facilities caused or contributed to medical conditions, including cancers incurred by employees, former employees, third-parties' employees or residents in the area, and environmental damage or diminution of real estate values. </w:t>
      </w:r>
      <w:r>
        <w:rPr>
          <w:rFonts w:ascii="Arial" w:cs="Arial" w:eastAsia="Arial" w:hAnsi="Arial"/>
          <w:sz w:val="16"/>
          <w:szCs w:val="16"/>
          <w:color w:val="212529"/>
        </w:rPr>
        <w:t>For example, we are investigating and remediating contamination related to past practices at a number of</w:t>
      </w:r>
      <w:r>
        <w:rPr>
          <w:rFonts w:ascii="Arial" w:cs="Arial" w:eastAsia="Arial" w:hAnsi="Arial"/>
          <w:sz w:val="16"/>
          <w:szCs w:val="16"/>
          <w:color w:val="000000"/>
        </w:rPr>
        <w:t xml:space="preserve"> </w:t>
      </w:r>
      <w:r>
        <w:rPr>
          <w:rFonts w:ascii="Arial" w:cs="Arial" w:eastAsia="Arial" w:hAnsi="Arial"/>
          <w:sz w:val="16"/>
          <w:szCs w:val="16"/>
          <w:color w:val="212529"/>
        </w:rPr>
        <w:t xml:space="preserve">properties and, in some cases, have in the past been named as a defendant in related “toxic tort” claims. We are also subject to laws and regulations that: (1) impose requirements for the proper management, treatment, storage and disposal of hazardous substances and wastes; (2) restrict air and water emissions from our operations (including U.S. government-owned facilities we manage); and (3) require maintenance of a safe workplace. These laws and regulations can lead to substantial fines and criminal sanctions for violations, and may require the installation of costly equipment or operational changes to limit pollution emissions, decrease the likelihood of accidental hazardous substance releases, and/or reduce the risks of injury to people. We incur, and expect to continue to incur, capital and other expenditures to comply with these laws and regulations. A criminal violation of certain U.S. environmental statutes such as the Clean Air Act and Clean Water Act could result in suspension, debarment or disqualification by the U.S. Environmental Protection Agency (EPA). A facility determined to be in violation of the criminal provisions of these statutes can be prohibited from performing any U.S. government contract work until the violation has been corrected and the EPA approves the reinstatement of the facility. </w:t>
      </w:r>
      <w:r>
        <w:rPr>
          <w:rFonts w:ascii="Arial" w:cs="Arial" w:eastAsia="Arial" w:hAnsi="Arial"/>
          <w:sz w:val="16"/>
          <w:szCs w:val="16"/>
          <w:color w:val="000000"/>
        </w:rPr>
        <w:t>Even in litigation where we believe our liability is remote,</w:t>
      </w:r>
      <w:r>
        <w:rPr>
          <w:rFonts w:ascii="Arial" w:cs="Arial" w:eastAsia="Arial" w:hAnsi="Arial"/>
          <w:sz w:val="16"/>
          <w:szCs w:val="16"/>
          <w:color w:val="212529"/>
        </w:rPr>
        <w:t xml:space="preserve"> </w:t>
      </w:r>
      <w:r>
        <w:rPr>
          <w:rFonts w:ascii="Arial" w:cs="Arial" w:eastAsia="Arial" w:hAnsi="Arial"/>
          <w:sz w:val="16"/>
          <w:szCs w:val="16"/>
          <w:color w:val="000000"/>
        </w:rPr>
        <w:t xml:space="preserve">there is a risk that a negative finding or decision in a matter involving multiple plaintiffs or a purported class action could have a material adverse effect on our competitive position, results of operations, cash flows or financial condition, in particular with respect to environmental claims in regions where we have, or previously had, significant operations. </w:t>
      </w:r>
      <w:r>
        <w:rPr>
          <w:rFonts w:ascii="Arial" w:cs="Arial" w:eastAsia="Arial" w:hAnsi="Arial"/>
          <w:sz w:val="16"/>
          <w:szCs w:val="16"/>
          <w:color w:val="212529"/>
        </w:rPr>
        <w:t>In addition, new laws, regulations, or governmental policies, sudden changes in the interpretation and</w:t>
      </w:r>
      <w:r>
        <w:rPr>
          <w:rFonts w:ascii="Arial" w:cs="Arial" w:eastAsia="Arial" w:hAnsi="Arial"/>
          <w:sz w:val="16"/>
          <w:szCs w:val="16"/>
          <w:color w:val="000000"/>
        </w:rPr>
        <w:t xml:space="preserve"> </w:t>
      </w:r>
      <w:r>
        <w:rPr>
          <w:rFonts w:ascii="Arial" w:cs="Arial" w:eastAsia="Arial" w:hAnsi="Arial"/>
          <w:sz w:val="16"/>
          <w:szCs w:val="16"/>
          <w:color w:val="212529"/>
        </w:rPr>
        <w:t>enforcement of existing laws and regulations, the discovery of previously unknown contamination, or the imposition of new clean-up standards could require us to incur additional costs in the future that would have a negative effect on our results of operations, financial condition and liquidity.</w:t>
      </w:r>
    </w:p>
    <w:p>
      <w:pPr>
        <w:spacing w:after="0" w:line="13" w:lineRule="exact"/>
        <w:rPr>
          <w:sz w:val="20"/>
          <w:szCs w:val="20"/>
          <w:color w:val="auto"/>
        </w:rPr>
      </w:pPr>
    </w:p>
    <w:p>
      <w:pPr>
        <w:ind w:right="320" w:firstLine="405"/>
        <w:spacing w:after="0" w:line="248" w:lineRule="auto"/>
        <w:rPr>
          <w:sz w:val="20"/>
          <w:szCs w:val="20"/>
          <w:color w:val="auto"/>
        </w:rPr>
      </w:pPr>
      <w:r>
        <w:rPr>
          <w:rFonts w:ascii="Arial" w:cs="Arial" w:eastAsia="Arial" w:hAnsi="Arial"/>
          <w:sz w:val="18"/>
          <w:szCs w:val="18"/>
          <w:color w:val="auto"/>
        </w:rPr>
        <w:t>Product recalls and product liability claims (including claims related to the safety or reliability of our products) also can result in significant costs, including fines, as well as negative publicity, management distraction and damage to our reputation that could reduce demand for our products and services.</w:t>
      </w:r>
    </w:p>
    <w:p>
      <w:pPr>
        <w:spacing w:after="0" w:line="20" w:lineRule="exact"/>
        <w:rPr>
          <w:sz w:val="20"/>
          <w:szCs w:val="20"/>
          <w:color w:val="auto"/>
        </w:rPr>
      </w:pPr>
    </w:p>
    <w:p>
      <w:pPr>
        <w:ind w:right="60" w:firstLine="405"/>
        <w:spacing w:after="0" w:line="269" w:lineRule="auto"/>
        <w:rPr>
          <w:sz w:val="20"/>
          <w:szCs w:val="20"/>
          <w:color w:val="auto"/>
        </w:rPr>
      </w:pPr>
      <w:r>
        <w:rPr>
          <w:rFonts w:ascii="Arial" w:cs="Arial" w:eastAsia="Arial" w:hAnsi="Arial"/>
          <w:sz w:val="16"/>
          <w:szCs w:val="16"/>
          <w:color w:val="auto"/>
        </w:rPr>
        <w:t>In addition, the FCPA and other anti-bribery and -corruption laws generally prohibit companies and their intermediaries from making improper payments to U.S. and non-U.S. officials for the purpose of obtaining or retaining business. These laws apply to companies, individual directors, officers, employees and agents. U.S. companies also may be held liable for actions taken by strategic or local partners or representatives. The FCPA also imposes accounting standards and requirements on publicly traded U.S. corporations and their foreign affiliates, which are intended to prevent the diversion of corporate funds to the payment of bribes and other improper payments. Certain of our customer relationships outside of the U.S. are with governmental entities and are therefore subject to the FCPA and other anti-bribery and -corruption laws, including the anti-bribery and -corruption laws of non-U.S. countries. Our policies mandate compliance with these anti-bribery and -corruption laws. Despite meaningful measures that we undertake to ensure lawful conduct, which include training and internal control policies, these measures may not always prevent violations of the FCPA or similar laws. We have been subject to regulatory investigations for alleged violations of anti-bribery laws, and could be subject to such investigations in the future, which could result in criminal and civil penalties, disgorgement, further changes or enhancements to our procedures, policies and controls, personnel changes or other remedial actions. Violations of these laws, or allegations of such violations, could disrupt our operations, cause reputational harm, involve significant management distraction and result in a material adverse effect on our competitive position, results of operations, cash flows or financial condition.</w:t>
      </w:r>
    </w:p>
    <w:p>
      <w:pPr>
        <w:spacing w:after="0" w:line="9" w:lineRule="exact"/>
        <w:rPr>
          <w:sz w:val="20"/>
          <w:szCs w:val="20"/>
          <w:color w:val="auto"/>
        </w:rPr>
      </w:pPr>
    </w:p>
    <w:p>
      <w:pPr>
        <w:ind w:right="200" w:firstLine="405"/>
        <w:spacing w:after="0" w:line="261" w:lineRule="auto"/>
        <w:rPr>
          <w:sz w:val="20"/>
          <w:szCs w:val="20"/>
          <w:color w:val="auto"/>
        </w:rPr>
      </w:pPr>
      <w:r>
        <w:rPr>
          <w:rFonts w:ascii="Arial" w:cs="Arial" w:eastAsia="Arial" w:hAnsi="Arial"/>
          <w:sz w:val="18"/>
          <w:szCs w:val="18"/>
          <w:color w:val="auto"/>
        </w:rPr>
        <w:t>Cybersecurity and data privacy and protection laws and regulations are evolving and present increasing compliance challenges, which may increase our costs, affect our competitiveness, cause reputational harm, and expose us to substantial fines or other penalties.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and Financial Performance May Be Adversely Affected By Cyber-attacks on Information Technology Infrastructure and Products</w:t>
      </w:r>
    </w:p>
    <w:p>
      <w:pPr>
        <w:spacing w:after="0" w:line="73" w:lineRule="exact"/>
        <w:rPr>
          <w:sz w:val="20"/>
          <w:szCs w:val="20"/>
          <w:color w:val="auto"/>
        </w:rPr>
      </w:pPr>
    </w:p>
    <w:p>
      <w:pPr>
        <w:ind w:firstLine="405"/>
        <w:spacing w:after="0" w:line="248" w:lineRule="auto"/>
        <w:rPr>
          <w:sz w:val="20"/>
          <w:szCs w:val="20"/>
          <w:color w:val="auto"/>
        </w:rPr>
      </w:pPr>
      <w:r>
        <w:rPr>
          <w:rFonts w:ascii="Arial" w:cs="Arial" w:eastAsia="Arial" w:hAnsi="Arial"/>
          <w:sz w:val="18"/>
          <w:szCs w:val="18"/>
          <w:color w:val="auto"/>
        </w:rPr>
        <w:t>Our business may be impacted by disruptions to our own or third-party information technology (IT) infrastructure, which could result from, among other causes, cyber-attacks on or failures of such infrastructure or compromises to its physical security. We also encounter attempts to infiltrate our products and services and sabotage or disable their use by our customers.</w:t>
      </w:r>
    </w:p>
    <w:p>
      <w:pPr>
        <w:spacing w:after="0" w:line="20" w:lineRule="exact"/>
        <w:rPr>
          <w:sz w:val="20"/>
          <w:szCs w:val="20"/>
          <w:color w:val="auto"/>
        </w:rPr>
      </w:pPr>
    </w:p>
    <w:p>
      <w:pPr>
        <w:ind w:right="80" w:firstLine="405"/>
        <w:spacing w:after="0" w:line="254" w:lineRule="auto"/>
        <w:rPr>
          <w:sz w:val="20"/>
          <w:szCs w:val="20"/>
          <w:color w:val="auto"/>
        </w:rPr>
      </w:pPr>
      <w:r>
        <w:rPr>
          <w:rFonts w:ascii="Arial" w:cs="Arial" w:eastAsia="Arial" w:hAnsi="Arial"/>
          <w:sz w:val="17"/>
          <w:szCs w:val="17"/>
          <w:color w:val="auto"/>
        </w:rPr>
        <w:t>Cybersecurity threats are evolving and include, but are not limited to, both attacks on our IT infrastructure and attacks on the IT infrastructure of our customers, suppliers, subcontractors and other third parties with whom we do business routinely, both on premises and in the cloud, attempting to gain unauthorized access to our confidential or other proprietary information, classified information, or information relating to our employees, customers and other third parties, or to disrupt our systems or the systems of third parties. Cybersecurity threats also include attacks targeting the security, integrity and/or availability of the hardware, software and information installed, stored or transmitted in our products, including after the purchase of those products and when they are incorporated into third-party products, facilities or infrastructure, and insider threat attacks. Such attacks could disrupt our systems or those of third parties (including mission critical systems), impact business operations, result in unauthorized release of confidential or otherwise protected information, and corrupt our data or that of third parties.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3" w:name="page64"/>
    <w:bookmarkEnd w:id="63"/>
    <w:p>
      <w:pPr>
        <w:ind w:right="20"/>
        <w:spacing w:after="0" w:line="268" w:lineRule="auto"/>
        <w:rPr>
          <w:sz w:val="20"/>
          <w:szCs w:val="20"/>
          <w:color w:val="auto"/>
        </w:rPr>
      </w:pPr>
      <w:r>
        <w:rPr>
          <w:rFonts w:ascii="Arial" w:cs="Arial" w:eastAsia="Arial" w:hAnsi="Arial"/>
          <w:sz w:val="16"/>
          <w:szCs w:val="16"/>
          <w:color w:val="auto"/>
        </w:rPr>
        <w:t xml:space="preserve">We have experienced cyber-based attacks, and due to the evolving threat landscape, may continue to experience them going forward, potentially with more frequency. The threats we face vary from attacks common to most industries to more advanced and persistent, highly organized adversaries, including nation states, which target us and other defense contractors. We continue to make investments and adopt measures designed to enhance our protection, detection, response, and recovery capabilities, and to mitigate potential risks to our technology, products, services and operations from potential cybersecurity threats. However, given the unpredictability, nature and scope of cyber-attacks, it is possible that we are unable to prevent cyber attacks, that potential vulnerabilities could go undetected for an extended period, that we may be unsuccessful in defending an attack against those vulnerabilities, or that we may otherwise be unable to mitigate customer losses and other potential consequences of these attacks. In addition, some products and services that we provide to customers, particularly those related to public security, may raise potential liabilities related to privacy and intellectual property. In some cases we must rely on the safeguards put in place by our customers, suppliers, subcontractors and other third parties to protect against and report cyber threats. We could potentially be subject to production downtimes, operational delays, other detrimental impacts on our operations or ability to provide products and services to our customers, the compromise of confidential information, intellectual property or otherwise protected information, misappropriation, destruction or corruption of data, security breaches, other manipulation or improper use of our or third-party systems, networks or products, financial losses from remedial actions, loss of business, or potential liability, penalties, fines and/or damage to our reputation, any of which could have a material adverse effect on our competitive position, results of operations, cash flows or financial condition. Some of these risks may be heightened due to the Company and its suppliers and other third parties operating with a significant number of employees working remotely. Due to the evolving nature of such risks, the impact of any potential incident cannot be predicted. </w:t>
      </w:r>
      <w:r>
        <w:rPr>
          <w:rFonts w:ascii="Arial" w:cs="Arial" w:eastAsia="Arial" w:hAnsi="Arial"/>
          <w:sz w:val="16"/>
          <w:szCs w:val="16"/>
          <w:color w:val="212529"/>
        </w:rPr>
        <w:t>Further, our insurance coverage may not be adequate to cover all related costs</w:t>
      </w:r>
      <w:r>
        <w:rPr>
          <w:rFonts w:ascii="Arial" w:cs="Arial" w:eastAsia="Arial" w:hAnsi="Arial"/>
          <w:sz w:val="16"/>
          <w:szCs w:val="16"/>
          <w:color w:val="auto"/>
        </w:rPr>
        <w:t xml:space="preserve"> </w:t>
      </w:r>
      <w:r>
        <w:rPr>
          <w:rFonts w:ascii="Arial" w:cs="Arial" w:eastAsia="Arial" w:hAnsi="Arial"/>
          <w:sz w:val="16"/>
          <w:szCs w:val="16"/>
          <w:color w:val="212529"/>
        </w:rPr>
        <w:t>and we may not otherwise be fully indemnified for them.</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and Financial Performance May Be Adversely Affected By Threats to Our Physical Security and Other Events Outside Our Control</w:t>
      </w:r>
    </w:p>
    <w:p>
      <w:pPr>
        <w:spacing w:after="0" w:line="73" w:lineRule="exact"/>
        <w:rPr>
          <w:sz w:val="20"/>
          <w:szCs w:val="20"/>
          <w:color w:val="auto"/>
        </w:rPr>
      </w:pPr>
    </w:p>
    <w:p>
      <w:pPr>
        <w:ind w:right="60" w:firstLine="324"/>
        <w:spacing w:after="0" w:line="272" w:lineRule="auto"/>
        <w:rPr>
          <w:sz w:val="20"/>
          <w:szCs w:val="20"/>
          <w:color w:val="auto"/>
        </w:rPr>
      </w:pPr>
      <w:r>
        <w:rPr>
          <w:rFonts w:ascii="Arial" w:cs="Arial" w:eastAsia="Arial" w:hAnsi="Arial"/>
          <w:sz w:val="16"/>
          <w:szCs w:val="16"/>
          <w:color w:val="auto"/>
        </w:rPr>
        <w:t>We could encounter threats to our physical security, including our facilities and personnel, and threats from terrorism or similar acts, any of which could disrupt our business. In addition, our business, and the businesses of our suppliers, subcontractors and service providers and customers, could be disrupted by public health crises, such as pandemics and epidemics, damaging weather or other acts of nature, or other events outside of our control. Our business may also be impacted by cyber-attacks on IT infrastructure and products, as discussed above. In addition, our business has been, and continues to be, impacted by the COVID-19 pandemic, as discussed above. Any such business disruption could subject us to production downtimes, operational delays, other detrimental impacts on our operations or ability to provide products and services to our customers, financial losses from remedial actions, the diversion of management’s attention and resources, or loss of business, any of which could have a material adverse effect on our competitive position, results of operations, cash flows or financial condition. The impact of any such business disruption is difficult to predict.</w:t>
      </w:r>
    </w:p>
    <w:p>
      <w:pPr>
        <w:spacing w:after="0" w:line="249" w:lineRule="exact"/>
        <w:rPr>
          <w:sz w:val="20"/>
          <w:szCs w:val="20"/>
          <w:color w:val="auto"/>
        </w:rPr>
      </w:pPr>
    </w:p>
    <w:p>
      <w:pPr>
        <w:ind w:right="680"/>
        <w:spacing w:after="0" w:line="281" w:lineRule="auto"/>
        <w:rPr>
          <w:sz w:val="20"/>
          <w:szCs w:val="20"/>
          <w:color w:val="auto"/>
        </w:rPr>
      </w:pPr>
      <w:r>
        <w:rPr>
          <w:rFonts w:ascii="Arial" w:cs="Arial" w:eastAsia="Arial" w:hAnsi="Arial"/>
          <w:sz w:val="17"/>
          <w:szCs w:val="17"/>
          <w:b w:val="1"/>
          <w:bCs w:val="1"/>
          <w:i w:val="1"/>
          <w:iCs w:val="1"/>
          <w:color w:val="auto"/>
        </w:rPr>
        <w:t>We Depend On Our Intellectual Property, and Have Access to Certain Intellectual Property and Information of Our Customers and Suppliers; Infringement or Failure to Protect Our Intellectual Property Could Adversely Affect Our Future Growth and Success.</w:t>
      </w:r>
    </w:p>
    <w:p>
      <w:pPr>
        <w:spacing w:after="0" w:line="1" w:lineRule="exact"/>
        <w:rPr>
          <w:sz w:val="20"/>
          <w:szCs w:val="20"/>
          <w:color w:val="auto"/>
        </w:rPr>
      </w:pPr>
    </w:p>
    <w:p>
      <w:pPr>
        <w:ind w:firstLine="324"/>
        <w:spacing w:after="0" w:line="252" w:lineRule="auto"/>
        <w:rPr>
          <w:sz w:val="20"/>
          <w:szCs w:val="20"/>
          <w:color w:val="auto"/>
        </w:rPr>
      </w:pPr>
      <w:r>
        <w:rPr>
          <w:rFonts w:ascii="Arial" w:cs="Arial" w:eastAsia="Arial" w:hAnsi="Arial"/>
          <w:sz w:val="17"/>
          <w:szCs w:val="17"/>
          <w:color w:val="auto"/>
        </w:rPr>
        <w:t xml:space="preserve">We rely on a combination of patents, trademarks, copyrights, trade secrets, nondisclosure agreements, IT security systems, internal controls and compliance systems and other measures to protect our intellectual property. We also rely on nondisclosure agreements, IT security systems and other measures to protect certain customer and supplier information and intellectual property that we have in our possession or to which we have access. </w:t>
      </w:r>
      <w:r>
        <w:rPr>
          <w:rFonts w:ascii="Arial" w:cs="Arial" w:eastAsia="Arial" w:hAnsi="Arial"/>
          <w:sz w:val="17"/>
          <w:szCs w:val="17"/>
          <w:color w:val="212529"/>
        </w:rPr>
        <w:t>The</w:t>
      </w:r>
      <w:r>
        <w:rPr>
          <w:rFonts w:ascii="Arial" w:cs="Arial" w:eastAsia="Arial" w:hAnsi="Arial"/>
          <w:sz w:val="17"/>
          <w:szCs w:val="17"/>
          <w:color w:val="auto"/>
        </w:rPr>
        <w:t xml:space="preserve"> </w:t>
      </w:r>
      <w:r>
        <w:rPr>
          <w:rFonts w:ascii="Arial" w:cs="Arial" w:eastAsia="Arial" w:hAnsi="Arial"/>
          <w:sz w:val="17"/>
          <w:szCs w:val="17"/>
          <w:color w:val="212529"/>
        </w:rPr>
        <w:t>U.S. government and foreign governments have licenses under certain of our intellectual property, including certain patents, which are developed or used in performance of government contracts. Governments may use or authorize others (including our competitors) to use such patents and intellectual property for government and other purposes. Governments may challenge the sufficiency of intellectual property rights we have granted in government contracts and attempt to obtain greater rights, which could reduce our ability to protect our intellectual property rights and to compete. In some instances, we have augmented our technology base by licensing the proprietary intellectual property of others. Intellectual property obtained from third parties is also subject to challenge, invalidation, misappropriation or circumvention by third parties. In addition, we may not be able to obtain necessary licenses on commercially reasonable terms. In other instances, our ability to procure and perform government contracts requires us to obtain certain rights in the intellectual property of others through government grants. Governments may deny us the right to obtain such rights in the intellectual property of others, which may affect our ability to perform government contracts.</w:t>
      </w:r>
    </w:p>
    <w:p>
      <w:pPr>
        <w:spacing w:after="0" w:line="21"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color w:val="auto"/>
        </w:rPr>
        <w:t>Our efforts to protect intellectual property and proprietary rights may not be sufficient. We cannot be sure that our pending patent applications will result in the issuance of patents to us, that patents issued to or licensed by us in the past or in the future will not be challenged or circumvented by competitors, or that these patents will be found to be valid or sufficiently broad to preclude our competitors from introducing technologies similar to those covered by our patents and patent applications. Our ability to protect and enforce our intellectual property rights may be limited in certain countries outside the U.S. In addition, we may be the target of competitor or other third-party patent enforcement actions seeking substantial monetary damages or seeking to prevent our sale and marketing of certain of our products or services. Our competitive position also may be adversely impacted by limitations on our ability to obtain possession of, and ownership or necessary licenses concerning, data important to the development or provision of our products or service offerings, or by limitations on our ability</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64" w:name="page65"/>
    <w:bookmarkEnd w:id="64"/>
    <w:p>
      <w:pPr>
        <w:spacing w:after="0" w:line="241" w:lineRule="auto"/>
        <w:rPr>
          <w:sz w:val="20"/>
          <w:szCs w:val="20"/>
          <w:color w:val="auto"/>
        </w:rPr>
      </w:pPr>
      <w:r>
        <w:rPr>
          <w:rFonts w:ascii="Arial" w:cs="Arial" w:eastAsia="Arial" w:hAnsi="Arial"/>
          <w:sz w:val="18"/>
          <w:szCs w:val="18"/>
          <w:color w:val="auto"/>
        </w:rPr>
        <w:t>to restrict the use by others of data related to our products or services. We may also be subject to disruptions, losses and liability resulting from various cybersecurity attacks or information technology failures, as described above. Any of these events or factors could have a material adverse effect on our competitive position, subject us to judgments, penalties and significant litigation costs, or temporarily or permanently disrupt our sales and marketing of the affected products or services. Any of the foregoing could have a material adverse effect on our competitive position, results of operations, cash flows or financial condition.</w:t>
      </w:r>
    </w:p>
    <w:p>
      <w:pPr>
        <w:spacing w:after="0" w:line="270"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212529"/>
        </w:rPr>
        <w:t>We Depend On the Recruitment and Retention of Qualified Personnel, and Our Failure to Attract, Train and Retain Such Personnel and to Maintain our Corporate Culture and High Ethical Standards Could Seriously Harm Our Business.</w:t>
      </w:r>
    </w:p>
    <w:p>
      <w:pPr>
        <w:spacing w:after="0" w:line="9" w:lineRule="exact"/>
        <w:rPr>
          <w:sz w:val="20"/>
          <w:szCs w:val="20"/>
          <w:color w:val="auto"/>
        </w:rPr>
      </w:pPr>
    </w:p>
    <w:p>
      <w:pPr>
        <w:ind w:right="120" w:firstLine="324"/>
        <w:spacing w:after="0" w:line="270" w:lineRule="auto"/>
        <w:rPr>
          <w:sz w:val="20"/>
          <w:szCs w:val="20"/>
          <w:color w:val="auto"/>
        </w:rPr>
      </w:pPr>
      <w:r>
        <w:rPr>
          <w:rFonts w:ascii="Arial" w:cs="Arial" w:eastAsia="Arial" w:hAnsi="Arial"/>
          <w:sz w:val="16"/>
          <w:szCs w:val="16"/>
          <w:color w:val="212529"/>
        </w:rPr>
        <w:t>Due to the specialized nature of our business, our future performance is highly dependent upon the continued services of our key technical personnel and executive officers, the development of additional management personnel, and the hiring of new qualified technical, manufacturing, marketing, sales and management personnel for our operations. Our expanded defense business increases the need for qualified personnel. Competition for personnel is intense and we may not be successful in attracting, training or retaining qualified personnel with the requisite skills or security clearances. In addition, certain personnel may be required to receive various security clearances and substantial training in order to work on certain programs or perform certain tasks. Necessary security clearances may be delayed, which may impact our ability to perform on our U.S. government contracts. Further, a significant percentage of our current workforce is nearing or eligible for retirement. To the extent that we lose experienced personnel, it is critical that we develop other employees, hire new qualified personnel and successfully manage the transfer of critical knowledge. We face competition in attracting new qualified personnel, particularly in low unemployment environments. In addition, new qualified personnel may have different expectations from our current workforce, which could result in difficulties attracting and retaining new employees. Loss of key employees, failure to attract new qualified employees or adequately train them, delays in receiving required security clearances, or delays in hiring key personnel could seriously harm our business.</w:t>
      </w:r>
    </w:p>
    <w:p>
      <w:pPr>
        <w:spacing w:after="0" w:line="5" w:lineRule="exact"/>
        <w:rPr>
          <w:sz w:val="20"/>
          <w:szCs w:val="20"/>
          <w:color w:val="auto"/>
        </w:rPr>
      </w:pPr>
    </w:p>
    <w:p>
      <w:pPr>
        <w:ind w:right="60" w:firstLine="324"/>
        <w:spacing w:after="0"/>
        <w:rPr>
          <w:sz w:val="20"/>
          <w:szCs w:val="20"/>
          <w:color w:val="auto"/>
        </w:rPr>
      </w:pPr>
      <w:r>
        <w:rPr>
          <w:rFonts w:ascii="Arial" w:cs="Arial" w:eastAsia="Arial" w:hAnsi="Arial"/>
          <w:sz w:val="18"/>
          <w:szCs w:val="18"/>
          <w:color w:val="212529"/>
        </w:rPr>
        <w:t>We believe that a critical element of our ability to successfully attract, train and retain qualified personnel is our corporate culture, which we believe fosters innovation, collaboration and a focus on execution, all in an environment of high ethical standards. Our global operations may present challenges in maintaining these important aspects of our corporate culture. Any failure to maintain our corporate culture could negatively impact our ability to attract, train and retain essential qualified personnel who are vital to our business. Further, we rely on our key personnel to lead with integrity and to meet our high ethical standards. To the extent any of our leaders were to behave in a way that is inconsistent with our values, we could experience a materially adverse impact to our reputation and our operating results.</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12529"/>
        </w:rPr>
        <w:t>We Use Estimates in Accounting For Many of Our Programs, and Changes in our Estimates Could Adversely Affect Our Future Financial Results.</w:t>
      </w:r>
    </w:p>
    <w:p>
      <w:pPr>
        <w:spacing w:after="0" w:line="73" w:lineRule="exact"/>
        <w:rPr>
          <w:sz w:val="20"/>
          <w:szCs w:val="20"/>
          <w:color w:val="auto"/>
        </w:rPr>
      </w:pPr>
    </w:p>
    <w:p>
      <w:pPr>
        <w:ind w:right="60" w:firstLine="324"/>
        <w:spacing w:after="0" w:line="267" w:lineRule="auto"/>
        <w:rPr>
          <w:sz w:val="20"/>
          <w:szCs w:val="20"/>
          <w:color w:val="auto"/>
        </w:rPr>
      </w:pPr>
      <w:r>
        <w:rPr>
          <w:rFonts w:ascii="Arial" w:cs="Arial" w:eastAsia="Arial" w:hAnsi="Arial"/>
          <w:sz w:val="16"/>
          <w:szCs w:val="16"/>
          <w:color w:val="212529"/>
        </w:rPr>
        <w:t>Accounting for long-term contracts and related assets requires estimates and judgments related to our progress toward completion and the long-term performance on the contract. Significant judgments include potential risks associated with the ability and cost to achieve program schedule, including customer-directed delays or reductions in scheduled deliveries, and technical and other specific contract requirements including customer activity levels and variable consideration based upon that activity. Due to the size and long-term nature of many of our contracts, the estimation of total revenues and cost at completion is complicated and subject to many variables. Management must make assumptions and estimates regarding contract revenue and cost (such as estimates of variable consideration, including award fees and penalties), including with respect to: (1) labor productivity and availability; (2) the complexity and scope of the work to be performed; (3) the availability and cost of materials; (4) the length of time to complete the performance obligation;</w:t>
      </w:r>
    </w:p>
    <w:p>
      <w:pPr>
        <w:spacing w:after="0" w:line="1" w:lineRule="exact"/>
        <w:rPr>
          <w:sz w:val="20"/>
          <w:szCs w:val="20"/>
          <w:color w:val="auto"/>
        </w:rPr>
      </w:pPr>
    </w:p>
    <w:p>
      <w:pPr>
        <w:jc w:val="both"/>
        <w:ind w:right="60" w:firstLine="8"/>
        <w:spacing w:after="0" w:line="264" w:lineRule="auto"/>
        <w:tabs>
          <w:tab w:leader="none" w:pos="255" w:val="left"/>
        </w:tabs>
        <w:numPr>
          <w:ilvl w:val="0"/>
          <w:numId w:val="16"/>
        </w:numPr>
        <w:rPr>
          <w:rFonts w:ascii="Arial" w:cs="Arial" w:eastAsia="Arial" w:hAnsi="Arial"/>
          <w:sz w:val="16"/>
          <w:szCs w:val="16"/>
          <w:color w:val="212529"/>
        </w:rPr>
      </w:pPr>
      <w:r>
        <w:rPr>
          <w:rFonts w:ascii="Arial" w:cs="Arial" w:eastAsia="Arial" w:hAnsi="Arial"/>
          <w:sz w:val="16"/>
          <w:szCs w:val="16"/>
          <w:color w:val="212529"/>
        </w:rPr>
        <w:t>execution by our subcontractors; (6) the availability and timing of funding from our customer; (7) overhead cost rates; (8) estimated aircraft and engine utilization; and (9) estimated part lives, among other variables. Because of the significance of management’s judgments and estimation processes described above, it is likely that materially different amounts could be recorded if we used different assumptions or if the underlying circumstances were to change.</w:t>
      </w:r>
    </w:p>
    <w:p>
      <w:pPr>
        <w:spacing w:after="0"/>
        <w:rPr>
          <w:rFonts w:ascii="Arial" w:cs="Arial" w:eastAsia="Arial" w:hAnsi="Arial"/>
          <w:sz w:val="16"/>
          <w:szCs w:val="16"/>
          <w:color w:val="212529"/>
        </w:rPr>
      </w:pPr>
      <w:r>
        <w:rPr>
          <w:rFonts w:ascii="Arial" w:cs="Arial" w:eastAsia="Arial" w:hAnsi="Arial"/>
          <w:sz w:val="18"/>
          <w:szCs w:val="18"/>
          <w:color w:val="212529"/>
        </w:rPr>
        <w:t>Changes in underlying assumptions, circumstances or estimates may adversely affect our future results of operations and financial condition.</w:t>
      </w:r>
    </w:p>
    <w:p>
      <w:pPr>
        <w:spacing w:after="0" w:line="277"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b w:val="1"/>
          <w:bCs w:val="1"/>
          <w:i w:val="1"/>
          <w:iCs w:val="1"/>
          <w:color w:val="212529"/>
        </w:rPr>
        <w:t>Significant changes in key estimates and assumptions, such as discount rates and assumed long-term return on plan assets (ROA), as well as our actual investment returns on our pension plan assets and other actuarial factors, could affect our earnings, equity and pension contributions in future periods.</w:t>
      </w:r>
    </w:p>
    <w:p>
      <w:pPr>
        <w:spacing w:after="0" w:line="20" w:lineRule="exact"/>
        <w:rPr>
          <w:sz w:val="20"/>
          <w:szCs w:val="20"/>
          <w:color w:val="auto"/>
        </w:rPr>
      </w:pPr>
    </w:p>
    <w:p>
      <w:pPr>
        <w:ind w:firstLine="324"/>
        <w:spacing w:after="0" w:line="257" w:lineRule="auto"/>
        <w:rPr>
          <w:sz w:val="20"/>
          <w:szCs w:val="20"/>
          <w:color w:val="auto"/>
        </w:rPr>
      </w:pPr>
      <w:r>
        <w:rPr>
          <w:rFonts w:ascii="Arial" w:cs="Arial" w:eastAsia="Arial" w:hAnsi="Arial"/>
          <w:sz w:val="17"/>
          <w:szCs w:val="17"/>
          <w:color w:val="212529"/>
        </w:rPr>
        <w:t>We must determine our pension and other postretirement benefit (PRB) plans’ expense or income, which involves significant judgment particularly with respect to our discount rate, long-term ROA and other actuarial assumptions. The discount rate assumption is set annually and we determine on an annual basis whether it is appropriate to change our long-term ROA assumption. These assumptions and other actuarial assumptions may change significantly due to changes in economic, legislative, and/or demographic experience or circumstances. Changes in our assumptions could result in negative changes to our pension and PRB plans’ expense and funded status, and our cash contributions to such plans, which would negatively impact our results of operations. In addition, differences between our actual investment returns and our long-term ROA</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5" w:name="page66"/>
    <w:bookmarkEnd w:id="65"/>
    <w:p>
      <w:pPr>
        <w:ind w:right="180"/>
        <w:spacing w:after="0" w:line="261" w:lineRule="auto"/>
        <w:rPr>
          <w:sz w:val="20"/>
          <w:szCs w:val="20"/>
          <w:color w:val="auto"/>
        </w:rPr>
      </w:pPr>
      <w:r>
        <w:rPr>
          <w:rFonts w:ascii="Arial" w:cs="Arial" w:eastAsia="Arial" w:hAnsi="Arial"/>
          <w:sz w:val="18"/>
          <w:szCs w:val="18"/>
          <w:color w:val="212529"/>
        </w:rPr>
        <w:t>assumption would result in a change to our pension and PRB plans’ expense and funded status and our required contributions to the plans. They may also be impacted by changes in regulatory, accounting and other requirements applicable to pensions.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Tax Expense or Additional Tax Exposures Could Affect Our Future Profitability.</w:t>
      </w:r>
    </w:p>
    <w:p>
      <w:pPr>
        <w:spacing w:after="0" w:line="50" w:lineRule="exact"/>
        <w:rPr>
          <w:sz w:val="20"/>
          <w:szCs w:val="20"/>
          <w:color w:val="auto"/>
        </w:rPr>
      </w:pPr>
    </w:p>
    <w:p>
      <w:pPr>
        <w:ind w:firstLine="324"/>
        <w:spacing w:after="0" w:line="252" w:lineRule="auto"/>
        <w:rPr>
          <w:sz w:val="20"/>
          <w:szCs w:val="20"/>
          <w:color w:val="auto"/>
        </w:rPr>
      </w:pPr>
      <w:r>
        <w:rPr>
          <w:rFonts w:ascii="Arial" w:cs="Arial" w:eastAsia="Arial" w:hAnsi="Arial"/>
          <w:sz w:val="17"/>
          <w:szCs w:val="17"/>
          <w:color w:val="auto"/>
        </w:rPr>
        <w:t xml:space="preserve">We are subject to income taxes in the United States and various international jurisdictions. </w:t>
      </w:r>
      <w:r>
        <w:rPr>
          <w:rFonts w:ascii="Arial" w:cs="Arial" w:eastAsia="Arial" w:hAnsi="Arial"/>
          <w:sz w:val="17"/>
          <w:szCs w:val="17"/>
          <w:color w:val="212529"/>
        </w:rPr>
        <w:t>Significant judgment is required in determining our</w:t>
      </w:r>
      <w:r>
        <w:rPr>
          <w:rFonts w:ascii="Arial" w:cs="Arial" w:eastAsia="Arial" w:hAnsi="Arial"/>
          <w:sz w:val="17"/>
          <w:szCs w:val="17"/>
          <w:color w:val="auto"/>
        </w:rPr>
        <w:t xml:space="preserve"> </w:t>
      </w:r>
      <w:r>
        <w:rPr>
          <w:rFonts w:ascii="Arial" w:cs="Arial" w:eastAsia="Arial" w:hAnsi="Arial"/>
          <w:sz w:val="17"/>
          <w:szCs w:val="17"/>
          <w:color w:val="212529"/>
        </w:rPr>
        <w:t xml:space="preserve">worldwide provision for income taxes. In the ordinary course of our business, there are transactions and calculations where the ultimate tax determination is uncertain. </w:t>
      </w:r>
      <w:r>
        <w:rPr>
          <w:rFonts w:ascii="Arial" w:cs="Arial" w:eastAsia="Arial" w:hAnsi="Arial"/>
          <w:sz w:val="17"/>
          <w:szCs w:val="17"/>
          <w:color w:val="000000"/>
        </w:rPr>
        <w:t>Changes in tax laws and regulations, as well as changes and conflicts in related interpretations and other tax guidance, could materially impact</w:t>
      </w:r>
      <w:r>
        <w:rPr>
          <w:rFonts w:ascii="Arial" w:cs="Arial" w:eastAsia="Arial" w:hAnsi="Arial"/>
          <w:sz w:val="17"/>
          <w:szCs w:val="17"/>
          <w:color w:val="212529"/>
        </w:rPr>
        <w:t xml:space="preserve"> </w:t>
      </w:r>
      <w:r>
        <w:rPr>
          <w:rFonts w:ascii="Arial" w:cs="Arial" w:eastAsia="Arial" w:hAnsi="Arial"/>
          <w:sz w:val="17"/>
          <w:szCs w:val="17"/>
          <w:color w:val="000000"/>
        </w:rPr>
        <w:t xml:space="preserve">our tax receivables and liabilities and our deferred tax assets and deferred tax liabilities. Additionally, in the ordinary course of business we are subject to examinations by various tax authorities. In addition to ongoing examinations, there could be additional examinations launched in the future by governmental authorities in various jurisdictions, and existing examinations could be expanded. </w:t>
      </w:r>
      <w:r>
        <w:rPr>
          <w:rFonts w:ascii="Arial" w:cs="Arial" w:eastAsia="Arial" w:hAnsi="Arial"/>
          <w:sz w:val="17"/>
          <w:szCs w:val="17"/>
          <w:color w:val="212529"/>
        </w:rPr>
        <w:t>The final determination of tax audits and any related</w:t>
      </w:r>
      <w:r>
        <w:rPr>
          <w:rFonts w:ascii="Arial" w:cs="Arial" w:eastAsia="Arial" w:hAnsi="Arial"/>
          <w:sz w:val="17"/>
          <w:szCs w:val="17"/>
          <w:color w:val="000000"/>
        </w:rPr>
        <w:t xml:space="preserve"> </w:t>
      </w:r>
      <w:r>
        <w:rPr>
          <w:rFonts w:ascii="Arial" w:cs="Arial" w:eastAsia="Arial" w:hAnsi="Arial"/>
          <w:sz w:val="17"/>
          <w:szCs w:val="17"/>
          <w:color w:val="212529"/>
        </w:rPr>
        <w:t xml:space="preserve">litigation could be materially different from our historical income tax provisions and accruals. Additionally, changes in the geographic mix of our sales could impact our tax liabilities and affect our income tax expense and profitability. </w:t>
      </w:r>
      <w:r>
        <w:rPr>
          <w:rFonts w:ascii="Arial" w:cs="Arial" w:eastAsia="Arial" w:hAnsi="Arial"/>
          <w:sz w:val="17"/>
          <w:szCs w:val="17"/>
          <w:color w:val="000000"/>
        </w:rPr>
        <w:t>The global and diverse nature of our operations means that these risks</w:t>
      </w:r>
      <w:r>
        <w:rPr>
          <w:rFonts w:ascii="Arial" w:cs="Arial" w:eastAsia="Arial" w:hAnsi="Arial"/>
          <w:sz w:val="17"/>
          <w:szCs w:val="17"/>
          <w:color w:val="212529"/>
        </w:rPr>
        <w:t xml:space="preserve"> </w:t>
      </w:r>
      <w:r>
        <w:rPr>
          <w:rFonts w:ascii="Arial" w:cs="Arial" w:eastAsia="Arial" w:hAnsi="Arial"/>
          <w:sz w:val="17"/>
          <w:szCs w:val="17"/>
          <w:color w:val="000000"/>
        </w:rPr>
        <w:t>will continue to exist and additional examinations, proceedings and contingencies will arise from time to time. Our competitive position, cash flows, results of operation or financial condition may be affected by the outcome of examinations, proceedings and other contingencies that cannot be predicted with certainty.</w:t>
      </w:r>
    </w:p>
    <w:p>
      <w:pPr>
        <w:spacing w:after="0" w:line="26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i w:val="1"/>
          <w:iCs w:val="1"/>
          <w:color w:val="212529"/>
        </w:rPr>
        <w:t>Goodwill and Other Intangible Assets Represent a Significant Portion of Our Assets, and Any Impairment of These Assets Could Negatively Impact Our Results of Operations and Financial Condition.</w:t>
      </w:r>
    </w:p>
    <w:p>
      <w:pPr>
        <w:spacing w:after="0" w:line="9" w:lineRule="exact"/>
        <w:rPr>
          <w:sz w:val="20"/>
          <w:szCs w:val="20"/>
          <w:color w:val="auto"/>
        </w:rPr>
      </w:pPr>
    </w:p>
    <w:p>
      <w:pPr>
        <w:ind w:right="100" w:firstLine="324"/>
        <w:spacing w:after="0" w:line="254" w:lineRule="auto"/>
        <w:rPr>
          <w:sz w:val="20"/>
          <w:szCs w:val="20"/>
          <w:color w:val="auto"/>
        </w:rPr>
      </w:pPr>
      <w:r>
        <w:rPr>
          <w:rFonts w:ascii="Arial" w:cs="Arial" w:eastAsia="Arial" w:hAnsi="Arial"/>
          <w:sz w:val="17"/>
          <w:szCs w:val="17"/>
          <w:color w:val="auto"/>
        </w:rPr>
        <w:t xml:space="preserve">A significant portion of our assets consists of goodwill and other intangible assets, including amounts added subsequent to the Raytheon Merger. </w:t>
      </w:r>
      <w:r>
        <w:rPr>
          <w:rFonts w:ascii="Arial" w:cs="Arial" w:eastAsia="Arial" w:hAnsi="Arial"/>
          <w:sz w:val="17"/>
          <w:szCs w:val="17"/>
          <w:color w:val="212529"/>
        </w:rPr>
        <w:t>Our</w:t>
      </w:r>
      <w:r>
        <w:rPr>
          <w:rFonts w:ascii="Arial" w:cs="Arial" w:eastAsia="Arial" w:hAnsi="Arial"/>
          <w:sz w:val="17"/>
          <w:szCs w:val="17"/>
          <w:color w:val="auto"/>
        </w:rPr>
        <w:t xml:space="preserve"> </w:t>
      </w:r>
      <w:r>
        <w:rPr>
          <w:rFonts w:ascii="Arial" w:cs="Arial" w:eastAsia="Arial" w:hAnsi="Arial"/>
          <w:sz w:val="17"/>
          <w:szCs w:val="17"/>
          <w:color w:val="212529"/>
        </w:rPr>
        <w:t>goodwill is subject to an impairment test annually and is also tested whenever events and circumstances indicate that goodwill may be impaired. In the event of an impairment any excess goodwill must be written off in the period of determination. Intangible assets (other than goodwill) are generally amortized over the useful life of such assets. In addition, from time to time, we may acquire or make an investment in a business which will require us to record goodwill and intangible assets based on the purchase price and the value of the acquired assets. We may subsequently experience unforeseen events that could adversely affect the value of our goodwill or intangible assets and trigger an impairment evaluation. Future determinations of significant impairments of goodwill or intangible assets as a result of an impairment test or any accelerated amortization of other intangible assets could have a negative impact on our results of operations and financial condition.</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12529"/>
        </w:rPr>
        <w:t>We Face Certain Significant Risk Exposures and Potential Liabilities That May Not Be Adequately Covered By Indemnity or Insurance.</w:t>
      </w:r>
    </w:p>
    <w:p>
      <w:pPr>
        <w:spacing w:after="0" w:line="61" w:lineRule="exact"/>
        <w:rPr>
          <w:sz w:val="20"/>
          <w:szCs w:val="20"/>
          <w:color w:val="auto"/>
        </w:rPr>
      </w:pPr>
    </w:p>
    <w:p>
      <w:pPr>
        <w:ind w:firstLine="324"/>
        <w:spacing w:after="0" w:line="271" w:lineRule="auto"/>
        <w:rPr>
          <w:sz w:val="20"/>
          <w:szCs w:val="20"/>
          <w:color w:val="auto"/>
        </w:rPr>
      </w:pPr>
      <w:r>
        <w:rPr>
          <w:rFonts w:ascii="Arial" w:cs="Arial" w:eastAsia="Arial" w:hAnsi="Arial"/>
          <w:sz w:val="16"/>
          <w:szCs w:val="16"/>
          <w:color w:val="212529"/>
        </w:rPr>
        <w:t>A significant portion of our business relates to designing, developing and manufacturing advanced aerospace, defense and technology systems and products. New technologies may be untested or unproven. In addition, we may incur significant liabilities that are unique to our products and services. In some, but not all, circumstances, we may be entitled to indemnification from our customers through contractual provisions, and we may obtain limitations of liability and additional defenses for various reasons including the qualification of our products and services by the Department of Homeland Security (DHS) under the SAFETY Act provisions of the Homeland Security Act of 2002. The amount of the insurance coverage we maintain or indemnification to which we may be contractually or otherwise entitled may not be adequate to cover all claims or liabilities. Accordingly, we may be forced to bear substantial costs resulting from risks and uncertainties of our business, which would negatively impact our results of operations, financial condition and liquidity. Any accident, failure of, or defect in our products and services, even if fully indemnified or insured, could negatively affect our reputation among our customers and the public, and make it more difficult for us to compete effectively. It could also affect the cost and availability of insurance in the future.</w:t>
      </w:r>
    </w:p>
    <w:p>
      <w:pPr>
        <w:spacing w:after="0" w:line="250"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b w:val="1"/>
          <w:bCs w:val="1"/>
          <w:i w:val="1"/>
          <w:iCs w:val="1"/>
          <w:color w:val="auto"/>
        </w:rPr>
        <w:t>We May Be Unable to Realize Expected Benefits From Our Cost Reduction and Restructuring Efforts and Our Profitability May Be Hurt or Our Business Otherwise Might Be Adversely Affected.</w:t>
      </w:r>
    </w:p>
    <w:p>
      <w:pPr>
        <w:spacing w:after="0" w:line="9" w:lineRule="exact"/>
        <w:rPr>
          <w:sz w:val="20"/>
          <w:szCs w:val="20"/>
          <w:color w:val="auto"/>
        </w:rPr>
      </w:pPr>
    </w:p>
    <w:p>
      <w:pPr>
        <w:ind w:right="40" w:firstLine="445"/>
        <w:spacing w:after="0" w:line="271" w:lineRule="auto"/>
        <w:rPr>
          <w:sz w:val="20"/>
          <w:szCs w:val="20"/>
          <w:color w:val="auto"/>
        </w:rPr>
      </w:pPr>
      <w:r>
        <w:rPr>
          <w:rFonts w:ascii="Arial" w:cs="Arial" w:eastAsia="Arial" w:hAnsi="Arial"/>
          <w:sz w:val="16"/>
          <w:szCs w:val="16"/>
          <w:color w:val="auto"/>
        </w:rPr>
        <w:t>In order to operate more efficiently and control costs, we announce from time to time restructuring plans, which include workforce reductions, global facility consolidations and other cost reduction initiatives. These plans are intended to generate operating expense savings through reductions in direct and indirect expenses as well as improved efficiencies. We may undertake further workforce reductions or restructuring actions in the future. These types of cost reduction and restructuring activities are complex. If we do not successfully manage our current restructuring activities, or any future restructuring activities, expected efficiencies and benefits might be delayed or not realized, and our operations and business could be disrupted. Risks associated with these actions and other workforce management issues include unfavorable political responses to such actions, unforeseen delays in the implementation of anticipated workforce reductions, additional unexpected costs, adverse effects on employee morale and the failure to meet operational targets due to the loss of employees or work stoppages, any of which may impair our ability to achieve anticipated cost reductions, or otherwise harm our business, or have a material adverse effect on our competitive position, results of operations, cash flows or financial condition.</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6" w:name="page67"/>
    <w:bookmarkEnd w:id="66"/>
    <w:p>
      <w:pPr>
        <w:ind w:right="560"/>
        <w:spacing w:after="0" w:line="235" w:lineRule="auto"/>
        <w:rPr>
          <w:sz w:val="20"/>
          <w:szCs w:val="20"/>
          <w:color w:val="auto"/>
        </w:rPr>
      </w:pPr>
      <w:r>
        <w:rPr>
          <w:rFonts w:ascii="Arial" w:cs="Arial" w:eastAsia="Arial" w:hAnsi="Arial"/>
          <w:sz w:val="18"/>
          <w:szCs w:val="18"/>
          <w:b w:val="1"/>
          <w:bCs w:val="1"/>
          <w:i w:val="1"/>
          <w:iCs w:val="1"/>
          <w:color w:val="auto"/>
        </w:rPr>
        <w:t>We May Be Unable to Successfully Integrate the Legacy Businesses of UTC and Raytheon and Realize the Anticipated Benefits of the Raytheon Merger.</w:t>
      </w:r>
    </w:p>
    <w:p>
      <w:pPr>
        <w:spacing w:after="0" w:line="13" w:lineRule="exact"/>
        <w:rPr>
          <w:sz w:val="20"/>
          <w:szCs w:val="20"/>
          <w:color w:val="auto"/>
        </w:rPr>
      </w:pPr>
    </w:p>
    <w:p>
      <w:pPr>
        <w:ind w:right="80" w:firstLine="405"/>
        <w:spacing w:after="0" w:line="255" w:lineRule="auto"/>
        <w:rPr>
          <w:sz w:val="20"/>
          <w:szCs w:val="20"/>
          <w:color w:val="auto"/>
        </w:rPr>
      </w:pPr>
      <w:r>
        <w:rPr>
          <w:rFonts w:ascii="Arial" w:cs="Arial" w:eastAsia="Arial" w:hAnsi="Arial"/>
          <w:sz w:val="17"/>
          <w:szCs w:val="17"/>
          <w:color w:val="auto"/>
        </w:rPr>
        <w:t>The success of the Raytheon Merger will depend, in part, on our ability to successfully combine and integrate UTC’s and Raytheon’s legacy businesses, and realize the anticipated benefits, including synergies, cost savings, innovation and technological opportunities (including technology-driven revenue synergies) and operational efficiencies from the Raytheon Merger in a manner that does not materially disrupt existing customer, supplier and employee relations and does not result in decreased revenues due to losses of, or decreases in orders by, customers. If we are unable to achieve these objectives within the anticipated time frame, or at all, the anticipated benefits may not be realized fully or at all, or may take longer to realize than expected, and the value of the Company common stock may decline. We may fail to realize some or all of the anticipated benefits of the Raytheon Merger if the integration process takes longer than expected or is more costly than expected.</w:t>
      </w:r>
    </w:p>
    <w:p>
      <w:pPr>
        <w:spacing w:after="0" w:line="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integration of the two companies may result in material challenges, including, without limitation:</w:t>
      </w:r>
    </w:p>
    <w:p>
      <w:pPr>
        <w:spacing w:after="0" w:line="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managing a larger, more complex combined aerospace and defense business;</w:t>
      </w:r>
    </w:p>
    <w:p>
      <w:pPr>
        <w:ind w:left="660" w:hanging="328"/>
        <w:spacing w:after="0" w:line="23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maintaining employee morale, retaining key management and other employees, and managing corporate culture;</w:t>
      </w:r>
    </w:p>
    <w:p>
      <w:pPr>
        <w:ind w:left="660" w:right="120" w:hanging="328"/>
        <w:spacing w:after="0" w:line="234"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retaining existing business and operational relationships, including customers, suppliers and employees and other counterparties, as may be impacted by contracts containing consent and/or other provisions that may be triggered by the Raytheon Merger, and attracting new business and operational relationships;</w:t>
      </w:r>
    </w:p>
    <w:p>
      <w:pPr>
        <w:spacing w:after="0" w:line="2" w:lineRule="exact"/>
        <w:rPr>
          <w:rFonts w:ascii="Arial" w:cs="Arial" w:eastAsia="Arial" w:hAnsi="Arial"/>
          <w:sz w:val="18"/>
          <w:szCs w:val="18"/>
          <w:color w:val="auto"/>
        </w:rPr>
      </w:pPr>
    </w:p>
    <w:p>
      <w:pPr>
        <w:ind w:left="660" w:right="100" w:hanging="328"/>
        <w:spacing w:after="0" w:line="234"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diversion of management’s attention as a result of devoting attention to matters relating to the Raytheon Merger and/or the Separation and the Distributions following their consummation;</w:t>
      </w:r>
    </w:p>
    <w:p>
      <w:pPr>
        <w:spacing w:after="0" w:line="1" w:lineRule="exact"/>
        <w:rPr>
          <w:rFonts w:ascii="Arial" w:cs="Arial" w:eastAsia="Arial" w:hAnsi="Arial"/>
          <w:sz w:val="18"/>
          <w:szCs w:val="18"/>
          <w:color w:val="auto"/>
        </w:rPr>
      </w:pPr>
    </w:p>
    <w:p>
      <w:pPr>
        <w:ind w:left="660" w:right="340" w:hanging="328"/>
        <w:spacing w:after="0" w:line="234"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consolidating corporate and administrative infrastructures and eliminating duplicative operations, including unanticipated issues in integrating information technology, communications and other systems;</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coordinating geographically separate organizations; and</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unforeseen expenses or delays associated with the Raytheon Merger.</w:t>
      </w:r>
    </w:p>
    <w:p>
      <w:pPr>
        <w:spacing w:after="0" w:line="223" w:lineRule="exact"/>
        <w:rPr>
          <w:sz w:val="20"/>
          <w:szCs w:val="20"/>
          <w:color w:val="auto"/>
        </w:rPr>
      </w:pPr>
    </w:p>
    <w:p>
      <w:pPr>
        <w:ind w:right="160" w:firstLine="405"/>
        <w:spacing w:after="0" w:line="287" w:lineRule="auto"/>
        <w:rPr>
          <w:sz w:val="20"/>
          <w:szCs w:val="20"/>
          <w:color w:val="auto"/>
        </w:rPr>
      </w:pPr>
      <w:r>
        <w:rPr>
          <w:rFonts w:ascii="Arial" w:cs="Arial" w:eastAsia="Arial" w:hAnsi="Arial"/>
          <w:sz w:val="16"/>
          <w:szCs w:val="16"/>
          <w:color w:val="auto"/>
        </w:rPr>
        <w:t>Many of these factors will be outside of our control and may be exacerbated by the COVID-19 pandemic and public and private sector responses thereto, and any one of them could result in delays, increased costs, decreases in the amount of expected revenues, reduced expected cash generation, and diversion of management’s time and energy, which could materially affect our financial condition, results of operations and cash flows.</w:t>
      </w:r>
    </w:p>
    <w:p>
      <w:pPr>
        <w:spacing w:after="0" w:line="1" w:lineRule="exact"/>
        <w:rPr>
          <w:sz w:val="20"/>
          <w:szCs w:val="20"/>
          <w:color w:val="auto"/>
        </w:rPr>
      </w:pPr>
    </w:p>
    <w:p>
      <w:pPr>
        <w:jc w:val="both"/>
        <w:ind w:right="60" w:firstLine="405"/>
        <w:spacing w:after="0" w:line="262" w:lineRule="auto"/>
        <w:rPr>
          <w:sz w:val="20"/>
          <w:szCs w:val="20"/>
          <w:color w:val="auto"/>
        </w:rPr>
      </w:pPr>
      <w:r>
        <w:rPr>
          <w:rFonts w:ascii="Arial" w:cs="Arial" w:eastAsia="Arial" w:hAnsi="Arial"/>
          <w:sz w:val="17"/>
          <w:szCs w:val="17"/>
          <w:color w:val="auto"/>
        </w:rPr>
        <w:t>In addition, though we have completed the Separation Transactions and Distributions, we are subject to transition services arrangements under which we provide certain services to each of Otis and Carrier on a short-term, transitional basis. Providing these transition services is an additional burden on our personnel and management and may require significant amounts of their time, attention and resources, which could adversely affect our business, financial results and results of operations during this critical period of our integration.</w:t>
      </w:r>
    </w:p>
    <w:p>
      <w:pPr>
        <w:spacing w:after="0" w:line="10" w:lineRule="exact"/>
        <w:rPr>
          <w:sz w:val="20"/>
          <w:szCs w:val="20"/>
          <w:color w:val="auto"/>
        </w:rPr>
      </w:pPr>
    </w:p>
    <w:p>
      <w:pPr>
        <w:ind w:firstLine="405"/>
        <w:spacing w:after="0" w:line="241" w:lineRule="auto"/>
        <w:rPr>
          <w:sz w:val="20"/>
          <w:szCs w:val="20"/>
          <w:color w:val="auto"/>
        </w:rPr>
      </w:pPr>
      <w:r>
        <w:rPr>
          <w:rFonts w:ascii="Arial" w:cs="Arial" w:eastAsia="Arial" w:hAnsi="Arial"/>
          <w:sz w:val="18"/>
          <w:szCs w:val="18"/>
          <w:color w:val="auto"/>
        </w:rPr>
        <w:t>Moreover, conditions imposed on us in connection with the regulatory approvals for the Raytheon Merger, including the divestiture of certain businesses of UTC and Raytheon and potential transition services arrangements to be entered into in connection with such divestitures, could adversely affect the Company and/or the expected benefits of the Raytheon Merger. In particular, such divestitures may divert the attention of our management and/or may not be consummated or effected to the satisfaction of regulatory authorities, which may impose additional conditions and costs on us in connection with the Raytheon Merger.</w:t>
      </w:r>
    </w:p>
    <w:p>
      <w:pPr>
        <w:spacing w:after="0" w:line="27" w:lineRule="exact"/>
        <w:rPr>
          <w:sz w:val="20"/>
          <w:szCs w:val="20"/>
          <w:color w:val="auto"/>
        </w:rPr>
      </w:pPr>
    </w:p>
    <w:p>
      <w:pPr>
        <w:ind w:right="120" w:firstLine="405"/>
        <w:spacing w:after="0" w:line="243" w:lineRule="auto"/>
        <w:rPr>
          <w:sz w:val="20"/>
          <w:szCs w:val="20"/>
          <w:color w:val="auto"/>
        </w:rPr>
      </w:pPr>
      <w:r>
        <w:rPr>
          <w:rFonts w:ascii="Arial" w:cs="Arial" w:eastAsia="Arial" w:hAnsi="Arial"/>
          <w:sz w:val="18"/>
          <w:szCs w:val="18"/>
          <w:color w:val="auto"/>
        </w:rPr>
        <w:t>In addition, we must continue to manage the integration of other companies, assets and businesses, including the integration of Rockwell Collins, which UTC acquired on November 26, 2018. These ongoing integrations by each of UTC and Raytheon may increase the complexity of, and challenges associated with, the integration of UTC’s and Raytheon’s legacy businesses, which may make it more difficult for us to achieve the anticipated benefits of the Raytheon Merger fully or at all, or within the anticipated time frame.</w:t>
      </w:r>
    </w:p>
    <w:p>
      <w:pPr>
        <w:spacing w:after="0" w:line="26" w:lineRule="exact"/>
        <w:rPr>
          <w:sz w:val="20"/>
          <w:szCs w:val="20"/>
          <w:color w:val="auto"/>
        </w:rPr>
      </w:pPr>
    </w:p>
    <w:p>
      <w:pPr>
        <w:ind w:right="40" w:firstLine="405"/>
        <w:spacing w:after="0" w:line="239" w:lineRule="auto"/>
        <w:rPr>
          <w:sz w:val="20"/>
          <w:szCs w:val="20"/>
          <w:color w:val="auto"/>
        </w:rPr>
      </w:pPr>
      <w:r>
        <w:rPr>
          <w:rFonts w:ascii="Arial" w:cs="Arial" w:eastAsia="Arial" w:hAnsi="Arial"/>
          <w:sz w:val="18"/>
          <w:szCs w:val="18"/>
          <w:color w:val="auto"/>
        </w:rPr>
        <w:t>The actual integration may result in additional and unforeseen expenses, and the anticipated benefits of the integration plan may not be realized on a timely basis, if at all. Managing our significantly expanded commercial aerospace and defense businesses and operations will be a challenge for our employees because of, among other reasons, increased complexity of our operations and scale. We may also face increased scrutiny from governmental authorities and other third parties as a result of our increased size. While we have assumed that a certain level of expenses would be incurred, there are many factors beyond our control that could affect the total amount or the timing of integration expenses. Moreover, many of the expenses that may be incurred are, by their nature, difficult to estimate accurately. These expenses could exceed benefits expected to be realized in connection with the Raytheon Merger.</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Engage in Desirable Capital-Raising or Strategic Transactions.</w:t>
      </w:r>
    </w:p>
    <w:p>
      <w:pPr>
        <w:spacing w:after="0" w:line="36" w:lineRule="exact"/>
        <w:rPr>
          <w:sz w:val="20"/>
          <w:szCs w:val="20"/>
          <w:color w:val="auto"/>
        </w:rPr>
      </w:pPr>
    </w:p>
    <w:p>
      <w:pPr>
        <w:ind w:right="40" w:firstLine="405"/>
        <w:spacing w:after="0" w:line="241" w:lineRule="auto"/>
        <w:rPr>
          <w:sz w:val="20"/>
          <w:szCs w:val="20"/>
          <w:color w:val="auto"/>
        </w:rPr>
      </w:pPr>
      <w:r>
        <w:rPr>
          <w:rFonts w:ascii="Arial" w:cs="Arial" w:eastAsia="Arial" w:hAnsi="Arial"/>
          <w:sz w:val="18"/>
          <w:szCs w:val="18"/>
          <w:color w:val="auto"/>
        </w:rPr>
        <w:t>Under current U.S. federal income tax law, a spin-off that otherwise qualifies for tax-free treatment can be rendered taxable to the parent corporation and its stockholders as a result of certain post-spin-off transactions, including certain acquisitions of shares or assets of the parent corporation. To preserve the tax-free treatment of the Distributions, we may be limited in our ability to pursue certain equity issuances, strategic transactions, repurchases, or other transactions (including the certain dispositions of assets) that we may otherwise believe to be in the best interests of our stockholders or that might increase the value of our business.</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67" w:name="page68"/>
    <w:bookmarkEnd w:id="67"/>
    <w:p>
      <w:pPr>
        <w:jc w:val="both"/>
        <w:ind w:right="40"/>
        <w:spacing w:after="0" w:line="248" w:lineRule="auto"/>
        <w:rPr>
          <w:sz w:val="20"/>
          <w:szCs w:val="20"/>
          <w:color w:val="auto"/>
        </w:rPr>
      </w:pPr>
      <w:r>
        <w:rPr>
          <w:rFonts w:ascii="Arial" w:cs="Arial" w:eastAsia="Arial" w:hAnsi="Arial"/>
          <w:sz w:val="18"/>
          <w:szCs w:val="18"/>
          <w:b w:val="1"/>
          <w:bCs w:val="1"/>
          <w:i w:val="1"/>
          <w:iCs w:val="1"/>
          <w:color w:val="auto"/>
        </w:rPr>
        <w:t>If Either Distribution, Together with Certain Related Transactions, Were to Fail to Qualify as a Transaction that is Generally Tax-Free, Including as a Result of Subsequent Acquisitions of Our Stock (Including Pursuant to the Raytheon Merger) or the Stock of Carrier or Otis, We Could Be Subject to Significant Tax Liabilities.</w:t>
      </w:r>
    </w:p>
    <w:p>
      <w:pPr>
        <w:spacing w:after="0" w:line="20" w:lineRule="exact"/>
        <w:rPr>
          <w:sz w:val="20"/>
          <w:szCs w:val="20"/>
          <w:color w:val="auto"/>
        </w:rPr>
      </w:pPr>
    </w:p>
    <w:p>
      <w:pPr>
        <w:ind w:firstLine="405"/>
        <w:spacing w:after="0" w:line="270" w:lineRule="auto"/>
        <w:rPr>
          <w:sz w:val="20"/>
          <w:szCs w:val="20"/>
          <w:color w:val="auto"/>
        </w:rPr>
      </w:pPr>
      <w:r>
        <w:rPr>
          <w:rFonts w:ascii="Arial" w:cs="Arial" w:eastAsia="Arial" w:hAnsi="Arial"/>
          <w:sz w:val="16"/>
          <w:szCs w:val="16"/>
          <w:color w:val="auto"/>
        </w:rPr>
        <w:t>We received (1) a private letter ruling from the IRS regarding certain U.S. federal income tax matters relating to the Separation Transactions and Distributions and (2) an opinion of outside counsel regarding the qualification of certain elements of the Distributions under Section 355 of the Code. Although we intend for the Distributions generally to be tax-free for U.S. federal income tax purposes, there can be no assurance that they will so qualify. Even if the Distributions were to otherwise qualify as tax-free transactions under Sections 355 and 368(a)(1)(D) of the Code, either Distribution or both Distributions may result in taxable gain to us (but not our stockholders) under Section 355(e) of the Code if such Distribution(s) were deemed to be part of a plan (or series of related transactions) pursuant to which one or more persons acquire, directly or indirectly, shares representing a 50% or greater interest (by vote or value) in shares of Carrier, Otis, or us, as applicable. If the IRS were to determine that any post-Distribution acquisitions of Carrier stock, Otis stock, or our stock, as applicable, pursuant to such a plan (when aggregated with any pre-Distribution acquisitions of Carrier stock, Otis stock, or our stock, as applicable, pursuant to such a plan) would represent a 50% or greater interest in shares of Carrier, Otis, or us, as applicable, such determination could result in significant tax liabilities to us. For purposes of this test, even if the Raytheon Merger were treated as part of such plan, it did not result in an acquisition of a 50% or greater interest in our shares pursuant to a plan. Any such tax liabilities imposed on us may adversely affect an investment in us.</w:t>
      </w:r>
    </w:p>
    <w:p>
      <w:pPr>
        <w:spacing w:after="0" w:line="5" w:lineRule="exact"/>
        <w:rPr>
          <w:sz w:val="20"/>
          <w:szCs w:val="20"/>
          <w:color w:val="auto"/>
        </w:rPr>
      </w:pPr>
    </w:p>
    <w:p>
      <w:pPr>
        <w:ind w:firstLine="405"/>
        <w:spacing w:after="0" w:line="259" w:lineRule="auto"/>
        <w:rPr>
          <w:sz w:val="20"/>
          <w:szCs w:val="20"/>
          <w:color w:val="auto"/>
        </w:rPr>
      </w:pPr>
      <w:r>
        <w:rPr>
          <w:rFonts w:ascii="Arial" w:cs="Arial" w:eastAsia="Arial" w:hAnsi="Arial"/>
          <w:sz w:val="17"/>
          <w:szCs w:val="17"/>
          <w:color w:val="auto"/>
        </w:rPr>
        <w:t>In addition, with respect to certain Separation Transactions, we obtained tax rulings in certain non-U.S. jurisdictions and/or opinions of external tax advisors, in each case, regarding the tax treatment of such Separation Transactions. Notwithstanding the receipt of such tax rulings and opinions, there can be no assurance that the relevant taxing authorities will not assert that the tax treatment of the relevant Separation Transactions differs from the conclusions reached therein. In the event the relevant taxing authorities prevail with any challenge in respect of any relevant Separation Transaction, we could be subject to significant tax liabilities, which may adversely affect an investment in us.</w:t>
      </w:r>
    </w:p>
    <w:p>
      <w:pPr>
        <w:spacing w:after="0" w:line="12" w:lineRule="exact"/>
        <w:rPr>
          <w:sz w:val="20"/>
          <w:szCs w:val="20"/>
          <w:color w:val="auto"/>
        </w:rPr>
      </w:pPr>
    </w:p>
    <w:p>
      <w:pPr>
        <w:ind w:right="80" w:firstLine="405"/>
        <w:spacing w:after="0" w:line="252" w:lineRule="auto"/>
        <w:rPr>
          <w:sz w:val="20"/>
          <w:szCs w:val="20"/>
          <w:color w:val="auto"/>
        </w:rPr>
      </w:pPr>
      <w:r>
        <w:rPr>
          <w:rFonts w:ascii="Arial" w:cs="Arial" w:eastAsia="Arial" w:hAnsi="Arial"/>
          <w:sz w:val="17"/>
          <w:szCs w:val="17"/>
          <w:color w:val="auto"/>
        </w:rPr>
        <w:t>Under the tax matters agreement that we entered into with Otis and Carrier in connection with the Separation Transactions and Distributions, each of Otis and Carrier generally is required to indemnify us for any taxes we incur resulting from the Separation Transactions and/or the Distributions to the extent such amounts result from certain disqualifying actions by, or acquisition of equity securities of, Carrier or Otis, as applicable. Further, under the tax matters agreement, each of Otis and Carrier is generally required to indemnify us for a specified portion of any taxes we incur (a) arising as a result of the failure of either of the Distributions and certain related transactions to qualify as a transaction that is generally tax-free or a failure of any Separation Transaction that is intended to qualify as a transaction that is generally tax-free to so qualify, in each case, to the extent such amounts did not result from a disqualifying action by, or acquisition of equity securities of, Carrier, Otis, or us or (b) arising from certain audit or other adjustments to tax liabilities incurred with respect to Separation Transactions that were not intended to qualify as tax-free. In addition, under the tax matters agreement, each of Carrier and Otis is responsible for (i) a specified portion of any installment payment we are required to make pursuant to Section 965(h)(2) of the Code and (ii) specified taxes that exclusively relate to the Carrier business or the Otis business, as applicable. The amount of any such taxes for which we would be responsible may be significant, and if we were unable to obtain indemnification payments from Carrier or Otis to which we are entitled under the tax matters agreement and/or other agreements entered into in connection with the Separation Transactions and the Distributions, we could incur significant losses.</w:t>
      </w:r>
    </w:p>
    <w:p>
      <w:pPr>
        <w:spacing w:after="0" w:line="248"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b w:val="1"/>
          <w:bCs w:val="1"/>
          <w:i w:val="1"/>
          <w:iCs w:val="1"/>
          <w:color w:val="auto"/>
        </w:rPr>
        <w:t>If We Fail to Manage Potential Future Acquisitions, Investments, Divestitures, Joint Ventures and Other Transactions Successfully, These Activities Could Adversely Affect Our Future Financial Results.</w:t>
      </w:r>
    </w:p>
    <w:p>
      <w:pPr>
        <w:spacing w:after="0" w:line="13" w:lineRule="exact"/>
        <w:rPr>
          <w:sz w:val="20"/>
          <w:szCs w:val="20"/>
          <w:color w:val="auto"/>
        </w:rPr>
      </w:pPr>
    </w:p>
    <w:p>
      <w:pPr>
        <w:ind w:right="60" w:firstLine="405"/>
        <w:spacing w:after="0" w:line="241" w:lineRule="auto"/>
        <w:rPr>
          <w:sz w:val="20"/>
          <w:szCs w:val="20"/>
          <w:color w:val="auto"/>
        </w:rPr>
      </w:pPr>
      <w:r>
        <w:rPr>
          <w:rFonts w:ascii="Arial" w:cs="Arial" w:eastAsia="Arial" w:hAnsi="Arial"/>
          <w:sz w:val="18"/>
          <w:szCs w:val="18"/>
          <w:color w:val="auto"/>
        </w:rPr>
        <w:t>In pursuing our business strategies, we continually review, evaluate and consider potential investments, acquisitions, divestitures, joint ventures and other teaming and collaborative arrangements. We undertake to identify opportunities that will complement our existing products and services or customer base, as well as expand our offerings and market reach into new areas that naturally extend from our core capabilities. In evaluating such transactions, we are required to make difficult judgments regarding the value of business opportunities, technologies and other assets, and the risks and cost of potential liabilities.</w:t>
      </w:r>
    </w:p>
    <w:p>
      <w:pPr>
        <w:spacing w:after="0" w:line="27" w:lineRule="exact"/>
        <w:rPr>
          <w:sz w:val="20"/>
          <w:szCs w:val="20"/>
          <w:color w:val="auto"/>
        </w:rPr>
      </w:pPr>
    </w:p>
    <w:p>
      <w:pPr>
        <w:ind w:right="120" w:firstLine="405"/>
        <w:spacing w:after="0" w:line="255" w:lineRule="auto"/>
        <w:rPr>
          <w:sz w:val="20"/>
          <w:szCs w:val="20"/>
          <w:color w:val="auto"/>
        </w:rPr>
      </w:pPr>
      <w:r>
        <w:rPr>
          <w:rFonts w:ascii="Arial" w:cs="Arial" w:eastAsia="Arial" w:hAnsi="Arial"/>
          <w:sz w:val="17"/>
          <w:szCs w:val="17"/>
          <w:color w:val="auto"/>
        </w:rPr>
        <w:t>Further, these transactions involve certain other risks and uncertainties including: (1) the risks involved with entering new markets; (2) the difficulty in integrating newly-acquired businesses and managing or monitoring other collaborative business arrangements; (3) challenges and failures in achieving strategic objectives and other expected benefits, which may result in certain liabilities to us for guarantees and other commitments; (4) unidentified issues not discovered in the Company’s due diligence; (5) the diversion of our attention and resources from our operations and other initiatives; (6) the potential impairment of acquired assets; (7) the performance of underlying products, capabilities or technologies; and (8) the potential loss of key employees and customers of acquired businesses. In addition, future transactions may impact our deployment of capital, including dividends, stock repurchases, pension contributions, and investments.</w:t>
      </w:r>
    </w:p>
    <w:p>
      <w:pPr>
        <w:spacing w:after="0" w:line="247"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b w:val="1"/>
          <w:bCs w:val="1"/>
          <w:i w:val="1"/>
          <w:iCs w:val="1"/>
          <w:color w:val="auto"/>
        </w:rPr>
        <w:t>Quarterly Cash Dividends and Share Repurchases May Be Discontinued or Modified, Are Subject to a Number of Uncertainties, and May Affect the Price of Our Common Stock.</w:t>
      </w:r>
    </w:p>
    <w:p>
      <w:pPr>
        <w:spacing w:after="0" w:line="13" w:lineRule="exact"/>
        <w:rPr>
          <w:sz w:val="20"/>
          <w:szCs w:val="20"/>
          <w:color w:val="auto"/>
        </w:rPr>
      </w:pPr>
    </w:p>
    <w:p>
      <w:pPr>
        <w:ind w:right="580" w:firstLine="405"/>
        <w:spacing w:after="0" w:line="261" w:lineRule="auto"/>
        <w:rPr>
          <w:sz w:val="20"/>
          <w:szCs w:val="20"/>
          <w:color w:val="auto"/>
        </w:rPr>
      </w:pPr>
      <w:r>
        <w:rPr>
          <w:rFonts w:ascii="Arial" w:cs="Arial" w:eastAsia="Arial" w:hAnsi="Arial"/>
          <w:sz w:val="18"/>
          <w:szCs w:val="18"/>
          <w:color w:val="auto"/>
        </w:rPr>
        <w:t>Quarterly cash dividends and share repurchases under our share repurchase program generally constitute components of our capital allocation strategy, which we fund with operating free cash flow, borrowings and divestitures. However, we are not</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68" w:name="page69"/>
    <w:bookmarkEnd w:id="68"/>
    <w:p>
      <w:pPr>
        <w:ind w:right="100"/>
        <w:spacing w:after="0" w:line="252" w:lineRule="auto"/>
        <w:rPr>
          <w:sz w:val="20"/>
          <w:szCs w:val="20"/>
          <w:color w:val="auto"/>
        </w:rPr>
      </w:pPr>
      <w:r>
        <w:rPr>
          <w:rFonts w:ascii="Arial" w:cs="Arial" w:eastAsia="Arial" w:hAnsi="Arial"/>
          <w:sz w:val="17"/>
          <w:szCs w:val="17"/>
          <w:color w:val="auto"/>
        </w:rPr>
        <w:t>required to declare dividends or make any share repurchases under our share repurchase program. Dividends and share repurchases may be discontinued, accelerated, suspended or delayed at any time without prior notice. Even if not discontinued, the amount of such dividends and repurchases may be changed, and the amount, timing and frequency of such dividends and repurchases may vary from historical practice or from the company’s stated expectations. Decisions with respect to dividends and share repurchases are subject to the discretion of our Board of Directors and will be based on a variety of factors. Important factors that could cause us to discontinue, limit, suspend, increase or delay our quarterly cash dividends or share repurchases include market conditions, the price of our common stock, the nature and timing of other investment opportunities, changes in our business strategy, the terms of our financing arrangements, our outlook as to the ability to obtain financing at attractive rates, the impact on our credit ratings and the availability of domestic cash. The Company has announced it does not plan to repurchases shares for the remainder of the calendar year as a result of the COVID-19 impact on our business. The reduction or elimination of our cash dividend, or longer suspension or elimination of our share repurchase program could adversely affect the market price of our common stock. Additionally, there can be no assurance that any share repurchases will enhance shareholder value because the market price of our common stock may decline below the levels at which we repurchased shares of common stock, and short-term stock price fluctuations could reduce the program’s effectiveness.</w:t>
      </w:r>
    </w:p>
    <w:p>
      <w:pPr>
        <w:spacing w:after="0" w:line="251"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b w:val="1"/>
          <w:bCs w:val="1"/>
          <w:i w:val="1"/>
          <w:iCs w:val="1"/>
          <w:color w:val="auto"/>
        </w:rPr>
        <w:t>The Company’s amended and restated by-laws designate the state courts within the State of Delaware as the sole and exclusive forum for certain types of actions and proceedings that may be initiated by Company stockholders, which could discourage lawsuits against the Company and its directors, officers and employees.</w:t>
      </w:r>
    </w:p>
    <w:p>
      <w:pPr>
        <w:spacing w:after="0" w:line="14" w:lineRule="exact"/>
        <w:rPr>
          <w:sz w:val="20"/>
          <w:szCs w:val="20"/>
          <w:color w:val="auto"/>
        </w:rPr>
      </w:pPr>
    </w:p>
    <w:p>
      <w:pPr>
        <w:ind w:right="280" w:firstLine="405"/>
        <w:spacing w:after="0" w:line="248" w:lineRule="auto"/>
        <w:rPr>
          <w:sz w:val="20"/>
          <w:szCs w:val="20"/>
          <w:color w:val="auto"/>
        </w:rPr>
      </w:pPr>
      <w:r>
        <w:rPr>
          <w:rFonts w:ascii="Arial" w:cs="Arial" w:eastAsia="Arial" w:hAnsi="Arial"/>
          <w:sz w:val="18"/>
          <w:szCs w:val="18"/>
          <w:color w:val="auto"/>
        </w:rPr>
        <w:t>Under the Company’s amended and restated by-laws, unless the Company determines otherwise, a state court located within the State of Delaware (or, if no state court located within the State of Delaware has jurisdiction, the federal district court for the District of Delaware) will be the sole and exclusive forum for:</w:t>
      </w:r>
    </w:p>
    <w:p>
      <w:pPr>
        <w:spacing w:after="0" w:line="2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derivative action or proceeding brought on behalf of the Company;</w:t>
      </w:r>
    </w:p>
    <w:p>
      <w:pPr>
        <w:spacing w:after="0" w:line="11" w:lineRule="exact"/>
        <w:rPr>
          <w:rFonts w:ascii="Arial" w:cs="Arial" w:eastAsia="Arial" w:hAnsi="Arial"/>
          <w:sz w:val="18"/>
          <w:szCs w:val="18"/>
          <w:color w:val="auto"/>
        </w:rPr>
      </w:pPr>
    </w:p>
    <w:p>
      <w:pPr>
        <w:ind w:left="660" w:right="80" w:hanging="328"/>
        <w:spacing w:after="0" w:line="234"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director or officer or other employee of the Company to the Company or to Company stockholders;</w:t>
      </w:r>
    </w:p>
    <w:p>
      <w:pPr>
        <w:spacing w:after="0" w:line="1" w:lineRule="exact"/>
        <w:rPr>
          <w:rFonts w:ascii="Arial" w:cs="Arial" w:eastAsia="Arial" w:hAnsi="Arial"/>
          <w:sz w:val="18"/>
          <w:szCs w:val="18"/>
          <w:color w:val="auto"/>
        </w:rPr>
      </w:pPr>
    </w:p>
    <w:p>
      <w:pPr>
        <w:ind w:left="660" w:right="40" w:hanging="328"/>
        <w:spacing w:after="0" w:line="234"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action asserting a claim against the Company or any director or officer or other employee of the Company arising pursuant to any provision of the Delaware General Corporation Law or the Company’s certificate of incorporation or the amended and restated by-laws (as either may be amended from time to time); or</w:t>
      </w:r>
    </w:p>
    <w:p>
      <w:pPr>
        <w:spacing w:after="0" w:line="2" w:lineRule="exact"/>
        <w:rPr>
          <w:rFonts w:ascii="Arial" w:cs="Arial" w:eastAsia="Arial" w:hAnsi="Arial"/>
          <w:sz w:val="18"/>
          <w:szCs w:val="18"/>
          <w:color w:val="auto"/>
        </w:rPr>
      </w:pPr>
    </w:p>
    <w:p>
      <w:pPr>
        <w:ind w:left="660" w:right="340" w:hanging="328"/>
        <w:spacing w:after="0" w:line="243"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action asserting a claim against the Company or any director or officer or other employee of the Company governed by the internal affairs doctrine.</w:t>
      </w:r>
    </w:p>
    <w:p>
      <w:pPr>
        <w:spacing w:after="0" w:line="213" w:lineRule="exact"/>
        <w:rPr>
          <w:sz w:val="20"/>
          <w:szCs w:val="20"/>
          <w:color w:val="auto"/>
        </w:rPr>
      </w:pPr>
    </w:p>
    <w:p>
      <w:pPr>
        <w:ind w:firstLine="405"/>
        <w:spacing w:after="0" w:line="257" w:lineRule="auto"/>
        <w:rPr>
          <w:sz w:val="20"/>
          <w:szCs w:val="20"/>
          <w:color w:val="auto"/>
        </w:rPr>
      </w:pPr>
      <w:r>
        <w:rPr>
          <w:rFonts w:ascii="Arial" w:cs="Arial" w:eastAsia="Arial" w:hAnsi="Arial"/>
          <w:sz w:val="17"/>
          <w:szCs w:val="17"/>
          <w:color w:val="auto"/>
        </w:rPr>
        <w:t>To the fullest extent permitted by law, this exclusive forum provision will apply to state and federal law claims, including claims under the federal securities laws, including the Securities Act of 1933, as amended (the Securities Act) and the Securities Exchange Act of 1934, as amended (the Exchange Act), although Company stockholders will not be deemed to have waived the Company’s compliance with the federal securities laws and the rules and regulations thereunder. The enforceability of similar choice of forum provisions in other companies’ bylaws has been challenged in legal proceedings, and it is possible that, in connection with claims arising under federal securities laws or otherwise, a court could find the exclusive forum provision contained in the amended and restated by-laws to be inapplicable or unenforceable.</w:t>
      </w:r>
    </w:p>
    <w:p>
      <w:pPr>
        <w:spacing w:after="0" w:line="13" w:lineRule="exact"/>
        <w:rPr>
          <w:sz w:val="20"/>
          <w:szCs w:val="20"/>
          <w:color w:val="auto"/>
        </w:rPr>
      </w:pPr>
    </w:p>
    <w:p>
      <w:pPr>
        <w:ind w:right="80" w:firstLine="405"/>
        <w:spacing w:after="0" w:line="241" w:lineRule="auto"/>
        <w:rPr>
          <w:sz w:val="20"/>
          <w:szCs w:val="20"/>
          <w:color w:val="auto"/>
        </w:rPr>
      </w:pPr>
      <w:r>
        <w:rPr>
          <w:rFonts w:ascii="Arial" w:cs="Arial" w:eastAsia="Arial" w:hAnsi="Arial"/>
          <w:sz w:val="18"/>
          <w:szCs w:val="18"/>
          <w:color w:val="auto"/>
        </w:rPr>
        <w:t>This exclusive forum provision may limit the ability of Company stockholders to commence litigation in a forum that they prefer, which may discourage such lawsuits against the Company and its current or former directors, officers and employees. Alternatively, if a court were to find this exclusive forum provision inapplicable to, or unenforceable in respect of, one or more of the specified types of actions or proceedings described above, the Company may incur additional costs associated with resolving such matters in other jurisdictions, which could negatively affect its business, results of operations and financial condition.</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right="160" w:firstLine="405"/>
        <w:spacing w:after="0" w:line="276" w:lineRule="auto"/>
        <w:rPr>
          <w:sz w:val="20"/>
          <w:szCs w:val="20"/>
          <w:color w:val="auto"/>
        </w:rPr>
      </w:pPr>
      <w:r>
        <w:rPr>
          <w:rFonts w:ascii="Arial" w:cs="Arial" w:eastAsia="Arial" w:hAnsi="Arial"/>
          <w:sz w:val="18"/>
          <w:szCs w:val="18"/>
          <w:color w:val="auto"/>
        </w:rPr>
        <w:t>The following table provides information about our purchases during the quarter ended March 31, 2020 of equity securities that are registered by us pursuant to Section 12 of the Exchange Act.</w:t>
      </w:r>
    </w:p>
    <w:tbl>
      <w:tblPr>
        <w:tblLayout w:type="fixed"/>
        <w:tblInd w:w="0" w:type="dxa"/>
        <w:tblCellMar>
          <w:top w:w="0" w:type="dxa"/>
          <w:left w:w="0" w:type="dxa"/>
          <w:bottom w:w="0" w:type="dxa"/>
          <w:right w:w="0" w:type="dxa"/>
        </w:tblCellMar>
      </w:tblPr>
      <w:tr>
        <w:trPr>
          <w:trHeight w:val="150"/>
        </w:trPr>
        <w:tc>
          <w:tcPr>
            <w:tcW w:w="2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240" w:type="dxa"/>
            <w:vAlign w:val="bottom"/>
          </w:tcPr>
          <w:p>
            <w:pPr>
              <w:spacing w:after="0"/>
              <w:rPr>
                <w:sz w:val="13"/>
                <w:szCs w:val="13"/>
                <w:color w:val="auto"/>
              </w:rPr>
            </w:pPr>
          </w:p>
        </w:tc>
        <w:tc>
          <w:tcPr>
            <w:tcW w:w="1780" w:type="dxa"/>
            <w:vAlign w:val="bottom"/>
            <w:gridSpan w:val="2"/>
          </w:tcPr>
          <w:p>
            <w:pPr>
              <w:jc w:val="center"/>
              <w:spacing w:after="0" w:line="150" w:lineRule="exact"/>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Total Number of Shares</w:t>
            </w:r>
          </w:p>
        </w:tc>
        <w:tc>
          <w:tcPr>
            <w:tcW w:w="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of Shares that May Yet Be</w:t>
            </w: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 Price Paid per</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as Part of a Publicly</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48"/>
        </w:trPr>
        <w:tc>
          <w:tcPr>
            <w:tcW w:w="2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1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Purchased</w:t>
            </w:r>
          </w:p>
        </w:tc>
        <w:tc>
          <w:tcPr>
            <w:tcW w:w="14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Announced Program</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3"/>
              </w:rPr>
              <w:t>Program</w:t>
            </w:r>
          </w:p>
        </w:tc>
        <w:tc>
          <w:tcPr>
            <w:tcW w:w="0" w:type="dxa"/>
            <w:vAlign w:val="bottom"/>
          </w:tcPr>
          <w:p>
            <w:pPr>
              <w:spacing w:after="0"/>
              <w:rPr>
                <w:sz w:val="1"/>
                <w:szCs w:val="1"/>
                <w:color w:val="auto"/>
              </w:rPr>
            </w:pPr>
          </w:p>
        </w:tc>
      </w:tr>
      <w:tr>
        <w:trPr>
          <w:trHeight w:val="192"/>
        </w:trPr>
        <w:tc>
          <w:tcPr>
            <w:tcW w:w="29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(000's)</w:t>
            </w:r>
          </w:p>
        </w:tc>
        <w:tc>
          <w:tcPr>
            <w:tcW w:w="2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Share</w:t>
            </w:r>
          </w:p>
        </w:tc>
        <w:tc>
          <w:tcPr>
            <w:tcW w:w="24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(000's)</w:t>
            </w:r>
          </w:p>
        </w:tc>
        <w:tc>
          <w:tcPr>
            <w:tcW w:w="2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3"/>
              </w:rPr>
              <w:t>(dollars in millions)</w:t>
            </w:r>
          </w:p>
        </w:tc>
        <w:tc>
          <w:tcPr>
            <w:tcW w:w="0" w:type="dxa"/>
            <w:vAlign w:val="bottom"/>
          </w:tcPr>
          <w:p>
            <w:pPr>
              <w:spacing w:after="0"/>
              <w:rPr>
                <w:sz w:val="1"/>
                <w:szCs w:val="1"/>
                <w:color w:val="auto"/>
              </w:rPr>
            </w:pPr>
          </w:p>
        </w:tc>
      </w:tr>
      <w:tr>
        <w:trPr>
          <w:trHeight w:val="249"/>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January 1 - January 31</w:t>
            </w:r>
          </w:p>
        </w:tc>
        <w:tc>
          <w:tcPr>
            <w:tcW w:w="17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84</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152.15</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84</w:t>
            </w: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43"/>
        </w:trPr>
        <w:tc>
          <w:tcPr>
            <w:tcW w:w="3200" w:type="dxa"/>
            <w:vAlign w:val="bottom"/>
            <w:gridSpan w:val="2"/>
          </w:tcPr>
          <w:p>
            <w:pPr>
              <w:ind w:left="20"/>
              <w:spacing w:after="0"/>
              <w:rPr>
                <w:sz w:val="20"/>
                <w:szCs w:val="20"/>
                <w:color w:val="auto"/>
              </w:rPr>
            </w:pPr>
            <w:r>
              <w:rPr>
                <w:rFonts w:ascii="Arial" w:cs="Arial" w:eastAsia="Arial" w:hAnsi="Arial"/>
                <w:sz w:val="18"/>
                <w:szCs w:val="18"/>
                <w:color w:val="auto"/>
              </w:rPr>
              <w:t>February 1 - February 29</w:t>
            </w:r>
          </w:p>
        </w:tc>
        <w:tc>
          <w:tcPr>
            <w:tcW w:w="1740" w:type="dxa"/>
            <w:vAlign w:val="bottom"/>
          </w:tcPr>
          <w:p>
            <w:pPr>
              <w:jc w:val="right"/>
              <w:ind w:right="78"/>
              <w:spacing w:after="0"/>
              <w:rPr>
                <w:sz w:val="20"/>
                <w:szCs w:val="20"/>
                <w:color w:val="auto"/>
              </w:rPr>
            </w:pPr>
            <w:r>
              <w:rPr>
                <w:rFonts w:ascii="Arial" w:cs="Arial" w:eastAsia="Arial" w:hAnsi="Arial"/>
                <w:sz w:val="18"/>
                <w:szCs w:val="18"/>
                <w:color w:val="auto"/>
              </w:rPr>
              <w:t>130</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tcPr>
          <w:p>
            <w:pPr>
              <w:jc w:val="right"/>
              <w:ind w:right="76"/>
              <w:spacing w:after="0"/>
              <w:rPr>
                <w:sz w:val="20"/>
                <w:szCs w:val="20"/>
                <w:color w:val="auto"/>
              </w:rPr>
            </w:pPr>
            <w:r>
              <w:rPr>
                <w:rFonts w:ascii="Arial" w:cs="Arial" w:eastAsia="Arial" w:hAnsi="Arial"/>
                <w:sz w:val="18"/>
                <w:szCs w:val="18"/>
                <w:color w:val="auto"/>
              </w:rPr>
              <w:t>141.06</w:t>
            </w:r>
          </w:p>
        </w:tc>
        <w:tc>
          <w:tcPr>
            <w:tcW w:w="240" w:type="dxa"/>
            <w:vAlign w:val="bottom"/>
          </w:tcPr>
          <w:p>
            <w:pPr>
              <w:spacing w:after="0"/>
              <w:rPr>
                <w:sz w:val="21"/>
                <w:szCs w:val="21"/>
                <w:color w:val="auto"/>
              </w:rPr>
            </w:pPr>
          </w:p>
        </w:tc>
        <w:tc>
          <w:tcPr>
            <w:tcW w:w="2040" w:type="dxa"/>
            <w:vAlign w:val="bottom"/>
          </w:tcPr>
          <w:p>
            <w:pPr>
              <w:jc w:val="right"/>
              <w:ind w:right="79"/>
              <w:spacing w:after="0"/>
              <w:rPr>
                <w:sz w:val="20"/>
                <w:szCs w:val="20"/>
                <w:color w:val="auto"/>
              </w:rPr>
            </w:pPr>
            <w:r>
              <w:rPr>
                <w:rFonts w:ascii="Arial" w:cs="Arial" w:eastAsia="Arial" w:hAnsi="Arial"/>
                <w:sz w:val="18"/>
                <w:szCs w:val="18"/>
                <w:color w:val="auto"/>
              </w:rPr>
              <w:t>130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79"/>
              <w:spacing w:after="0"/>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March 1 - March 31</w:t>
            </w:r>
          </w:p>
        </w:tc>
        <w:tc>
          <w:tcPr>
            <w:tcW w:w="17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116</w:t>
            </w:r>
          </w:p>
        </w:tc>
        <w:tc>
          <w:tcPr>
            <w:tcW w:w="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108.72</w:t>
            </w:r>
          </w:p>
        </w:tc>
        <w:tc>
          <w:tcPr>
            <w:tcW w:w="24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116</w:t>
            </w: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263"/>
        </w:trPr>
        <w:tc>
          <w:tcPr>
            <w:tcW w:w="32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74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8"/>
                <w:szCs w:val="18"/>
                <w:color w:val="auto"/>
              </w:rPr>
              <w:t>330</w:t>
            </w:r>
          </w:p>
        </w:tc>
        <w:tc>
          <w:tcPr>
            <w:tcW w:w="2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132.56</w:t>
            </w:r>
          </w:p>
        </w:tc>
        <w:tc>
          <w:tcPr>
            <w:tcW w:w="240" w:type="dxa"/>
            <w:vAlign w:val="bottom"/>
          </w:tcPr>
          <w:p>
            <w:pPr>
              <w:spacing w:after="0"/>
              <w:rPr>
                <w:sz w:val="22"/>
                <w:szCs w:val="22"/>
                <w:color w:val="auto"/>
              </w:rPr>
            </w:pPr>
          </w:p>
        </w:tc>
        <w:tc>
          <w:tcPr>
            <w:tcW w:w="20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8"/>
                <w:szCs w:val="18"/>
                <w:color w:val="auto"/>
              </w:rPr>
              <w:t>330</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40" w:firstLine="445"/>
        <w:spacing w:after="0" w:line="291" w:lineRule="auto"/>
        <w:rPr>
          <w:sz w:val="20"/>
          <w:szCs w:val="20"/>
          <w:color w:val="auto"/>
        </w:rPr>
      </w:pPr>
      <w:r>
        <w:rPr>
          <w:rFonts w:ascii="Arial" w:cs="Arial" w:eastAsia="Arial" w:hAnsi="Arial"/>
          <w:sz w:val="16"/>
          <w:szCs w:val="16"/>
          <w:color w:val="auto"/>
        </w:rPr>
        <w:t>On October 14, 2015, our Board of Directors authorized a share repurchase program for up to $12 billion of our common stock, replacing the program announced on July 19, 2015. At March 31, 2020, the maximum dollar value of shares that may yet be purchased under this current program was approximately $1,767 million. Under this program, shares may be purchased on the open market, in privately negotiated transactions, under accelerated share repurchase (ASR) programs and under plans complying with Rules 10b5-1 and 10b-18 under the Securities Exchange Act of 1934, as amended. We may also reacquire shares outside of the program from time to time in connection with the surrender of shares to cover taxes on vesting of restricted stock and as required under our employee savings plan. Our ability to repurchase shares is subject to applicable law, including restrictions arising from the Raytheon Merger. No shares were reacquired in transactions outside the program during the quarter ended March 31, 2020.</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Item 6. Exhibits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4"/>
                <w:szCs w:val="14"/>
                <w:color w:val="auto"/>
              </w:rPr>
            </w:pPr>
          </w:p>
        </w:tc>
        <w:tc>
          <w:tcPr>
            <w:tcW w:w="10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20" w:type="dxa"/>
            <w:vAlign w:val="bottom"/>
          </w:tcPr>
          <w:p>
            <w:pPr>
              <w:spacing w:after="0"/>
              <w:rPr>
                <w:sz w:val="16"/>
                <w:szCs w:val="16"/>
                <w:color w:val="auto"/>
              </w:rPr>
            </w:pPr>
          </w:p>
        </w:tc>
        <w:tc>
          <w:tcPr>
            <w:tcW w:w="10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980" w:type="dxa"/>
            <w:vAlign w:val="bottom"/>
            <w:tcBorders>
              <w:top w:val="single" w:sz="8" w:color="auto"/>
            </w:tcBorders>
          </w:tcPr>
          <w:p>
            <w:pPr>
              <w:jc w:val="right"/>
              <w:ind w:right="459"/>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100" w:type="dxa"/>
            <w:vAlign w:val="bottom"/>
            <w:tcBorders>
              <w:top w:val="single" w:sz="8" w:color="auto"/>
            </w:tcBorders>
            <w:gridSpan w:val="2"/>
          </w:tcPr>
          <w:p>
            <w:pPr>
              <w:spacing w:after="0"/>
              <w:rPr>
                <w:rFonts w:ascii="Arial" w:cs="Arial" w:eastAsia="Arial" w:hAnsi="Arial"/>
                <w:sz w:val="18"/>
                <w:szCs w:val="18"/>
                <w:u w:val="single" w:color="auto"/>
                <w:color w:val="0000FF"/>
                <w:w w:val="92"/>
              </w:rPr>
            </w:pPr>
            <w:hyperlink w:anchor="page73">
              <w:r>
                <w:rPr>
                  <w:rFonts w:ascii="Arial" w:cs="Arial" w:eastAsia="Arial" w:hAnsi="Arial"/>
                  <w:sz w:val="18"/>
                  <w:szCs w:val="18"/>
                  <w:u w:val="single" w:color="auto"/>
                  <w:color w:val="0000FF"/>
                  <w:w w:val="92"/>
                </w:rPr>
                <w:t>United Technologies Corporation Board of Directors Deferred Stock Unit Plan, as amended and restated, effective as of January 1, 2020.</w:t>
              </w:r>
            </w:hyperlink>
          </w:p>
        </w:tc>
        <w:tc>
          <w:tcPr>
            <w:tcW w:w="0" w:type="dxa"/>
            <w:vAlign w:val="bottom"/>
          </w:tcPr>
          <w:p>
            <w:pPr>
              <w:spacing w:after="0"/>
              <w:rPr>
                <w:sz w:val="1"/>
                <w:szCs w:val="1"/>
                <w:color w:val="auto"/>
              </w:rPr>
            </w:pPr>
          </w:p>
        </w:tc>
      </w:tr>
      <w:tr>
        <w:trPr>
          <w:trHeight w:val="270"/>
        </w:trPr>
        <w:tc>
          <w:tcPr>
            <w:tcW w:w="980" w:type="dxa"/>
            <w:vAlign w:val="bottom"/>
          </w:tcPr>
          <w:p>
            <w:pPr>
              <w:jc w:val="right"/>
              <w:ind w:right="459"/>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60" w:type="dxa"/>
            <w:vAlign w:val="bottom"/>
            <w:tcBorders>
              <w:bottom w:val="single" w:sz="8" w:color="0000FF"/>
            </w:tcBorders>
          </w:tcPr>
          <w:p>
            <w:pPr>
              <w:spacing w:after="0"/>
              <w:rPr>
                <w:rFonts w:ascii="Arial" w:cs="Arial" w:eastAsia="Arial" w:hAnsi="Arial"/>
                <w:sz w:val="18"/>
                <w:szCs w:val="18"/>
                <w:color w:val="0000FF"/>
                <w:w w:val="90"/>
              </w:rPr>
            </w:pPr>
            <w:hyperlink w:anchor="page115">
              <w:r>
                <w:rPr>
                  <w:rFonts w:ascii="Arial" w:cs="Arial" w:eastAsia="Arial" w:hAnsi="Arial"/>
                  <w:sz w:val="18"/>
                  <w:szCs w:val="18"/>
                  <w:color w:val="0000FF"/>
                  <w:w w:val="90"/>
                </w:rPr>
                <w:t>Schedule of Terms for restricted stock unit awards relating to the United Technologies Corporation 2018 Long-Term Incentive Plan</w:t>
              </w:r>
            </w:hyperlink>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60" w:type="dxa"/>
            <w:vAlign w:val="bottom"/>
          </w:tcPr>
          <w:p>
            <w:pPr>
              <w:spacing w:after="0"/>
              <w:rPr>
                <w:rFonts w:ascii="Arial" w:cs="Arial" w:eastAsia="Arial" w:hAnsi="Arial"/>
                <w:sz w:val="18"/>
                <w:szCs w:val="18"/>
                <w:u w:val="single" w:color="auto"/>
                <w:color w:val="0000FF"/>
                <w:w w:val="97"/>
              </w:rPr>
            </w:pPr>
            <w:hyperlink w:anchor="page115">
              <w:r>
                <w:rPr>
                  <w:rFonts w:ascii="Arial" w:cs="Arial" w:eastAsia="Arial" w:hAnsi="Arial"/>
                  <w:sz w:val="18"/>
                  <w:szCs w:val="18"/>
                  <w:u w:val="single" w:color="auto"/>
                  <w:color w:val="0000FF"/>
                  <w:w w:val="97"/>
                </w:rPr>
                <w:t>(referred to in Exhibit 10.22 to the Company’s Annual Report on Form 10-K for the fiscal year ended December 31, 2019).</w:t>
              </w:r>
            </w:hyperlink>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sectPr>
          <w:pgSz w:w="11900" w:h="16838" w:orient="portrait"/>
          <w:cols w:equalWidth="0" w:num="1">
            <w:col w:w="11200"/>
          </w:cols>
          <w:pgMar w:left="320" w:top="1228" w:right="379" w:bottom="1440" w:gutter="0" w:footer="0" w:header="0"/>
        </w:sectPr>
      </w:pP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10.3</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15</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31.1</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31.2</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31.3</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32</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101.INS</w:t>
      </w:r>
    </w:p>
    <w:p>
      <w:pPr>
        <w:spacing w:after="0" w:line="20" w:lineRule="exact"/>
        <w:rPr>
          <w:sz w:val="20"/>
          <w:szCs w:val="20"/>
          <w:color w:val="auto"/>
        </w:rPr>
      </w:pPr>
      <w:r>
        <w:rPr>
          <w:sz w:val="20"/>
          <w:szCs w:val="20"/>
          <w:color w:val="auto"/>
        </w:rPr>
        <w:br w:type="column"/>
      </w:r>
    </w:p>
    <w:p>
      <w:pPr>
        <w:ind w:right="360"/>
        <w:spacing w:after="0" w:line="258" w:lineRule="auto"/>
        <w:rPr>
          <w:rFonts w:ascii="Arial" w:cs="Arial" w:eastAsia="Arial" w:hAnsi="Arial"/>
          <w:sz w:val="17"/>
          <w:szCs w:val="17"/>
          <w:u w:val="single" w:color="auto"/>
          <w:color w:val="0000FF"/>
        </w:rPr>
      </w:pPr>
      <w:hyperlink w:anchor="page123">
        <w:r>
          <w:rPr>
            <w:rFonts w:ascii="Arial" w:cs="Arial" w:eastAsia="Arial" w:hAnsi="Arial"/>
            <w:sz w:val="17"/>
            <w:szCs w:val="17"/>
            <w:u w:val="single" w:color="auto"/>
            <w:color w:val="0000FF"/>
          </w:rPr>
          <w:t>Schedule of Terms for stock appreciation right awards relating to the United Technologies Corporation 2018 Long-Term Incentive Plan</w:t>
        </w:r>
      </w:hyperlink>
      <w:r>
        <w:rPr>
          <w:rFonts w:ascii="Arial" w:cs="Arial" w:eastAsia="Arial" w:hAnsi="Arial"/>
          <w:sz w:val="17"/>
          <w:szCs w:val="17"/>
          <w:u w:val="single" w:color="auto"/>
          <w:color w:val="0000FF"/>
        </w:rPr>
        <w:t xml:space="preserve"> </w:t>
      </w:r>
      <w:hyperlink w:anchor="page123">
        <w:r>
          <w:rPr>
            <w:rFonts w:ascii="Arial" w:cs="Arial" w:eastAsia="Arial" w:hAnsi="Arial"/>
            <w:sz w:val="17"/>
            <w:szCs w:val="17"/>
            <w:u w:val="single" w:color="auto"/>
            <w:color w:val="0000FF"/>
          </w:rPr>
          <w:t>(referred to in Exhibit 10.22 to the Company’s Annual Report on Form 10-K for the fiscal year ended December 31, 2019).</w:t>
        </w:r>
      </w:hyperlink>
    </w:p>
    <w:p>
      <w:pPr>
        <w:spacing w:after="0" w:line="52" w:lineRule="exact"/>
        <w:rPr>
          <w:sz w:val="20"/>
          <w:szCs w:val="20"/>
          <w:color w:val="auto"/>
        </w:rPr>
      </w:pPr>
    </w:p>
    <w:p>
      <w:pPr>
        <w:spacing w:after="0"/>
        <w:rPr>
          <w:rFonts w:ascii="Arial" w:cs="Arial" w:eastAsia="Arial" w:hAnsi="Arial"/>
          <w:sz w:val="18"/>
          <w:szCs w:val="18"/>
          <w:u w:val="single" w:color="auto"/>
          <w:color w:val="0000FF"/>
        </w:rPr>
      </w:pPr>
      <w:hyperlink w:anchor="page133">
        <w:r>
          <w:rPr>
            <w:rFonts w:ascii="Arial" w:cs="Arial" w:eastAsia="Arial" w:hAnsi="Arial"/>
            <w:sz w:val="18"/>
            <w:szCs w:val="18"/>
            <w:u w:val="single" w:color="auto"/>
            <w:color w:val="0000FF"/>
          </w:rPr>
          <w:t>Letter re: unaudited interim financial information.*</w:t>
        </w:r>
      </w:hyperlink>
    </w:p>
    <w:p>
      <w:pPr>
        <w:spacing w:after="0" w:line="117" w:lineRule="exact"/>
        <w:rPr>
          <w:sz w:val="20"/>
          <w:szCs w:val="20"/>
          <w:color w:val="auto"/>
        </w:rPr>
      </w:pPr>
    </w:p>
    <w:p>
      <w:pPr>
        <w:spacing w:after="0"/>
        <w:rPr>
          <w:rFonts w:ascii="Arial" w:cs="Arial" w:eastAsia="Arial" w:hAnsi="Arial"/>
          <w:sz w:val="18"/>
          <w:szCs w:val="18"/>
          <w:u w:val="single" w:color="auto"/>
          <w:color w:val="0000FF"/>
        </w:rPr>
      </w:pPr>
      <w:hyperlink w:anchor="page134">
        <w:r>
          <w:rPr>
            <w:rFonts w:ascii="Arial" w:cs="Arial" w:eastAsia="Arial" w:hAnsi="Arial"/>
            <w:sz w:val="18"/>
            <w:szCs w:val="18"/>
            <w:u w:val="single" w:color="auto"/>
            <w:color w:val="0000FF"/>
          </w:rPr>
          <w:t>Rule 13a-14(a)/15d-14(a) Certification.*</w:t>
        </w:r>
      </w:hyperlink>
    </w:p>
    <w:p>
      <w:pPr>
        <w:spacing w:after="0" w:line="117" w:lineRule="exact"/>
        <w:rPr>
          <w:sz w:val="20"/>
          <w:szCs w:val="20"/>
          <w:color w:val="auto"/>
        </w:rPr>
      </w:pPr>
    </w:p>
    <w:p>
      <w:pPr>
        <w:spacing w:after="0"/>
        <w:rPr>
          <w:rFonts w:ascii="Arial" w:cs="Arial" w:eastAsia="Arial" w:hAnsi="Arial"/>
          <w:sz w:val="18"/>
          <w:szCs w:val="18"/>
          <w:u w:val="single" w:color="auto"/>
          <w:color w:val="0000FF"/>
        </w:rPr>
      </w:pPr>
      <w:hyperlink w:anchor="page135">
        <w:r>
          <w:rPr>
            <w:rFonts w:ascii="Arial" w:cs="Arial" w:eastAsia="Arial" w:hAnsi="Arial"/>
            <w:sz w:val="18"/>
            <w:szCs w:val="18"/>
            <w:u w:val="single" w:color="auto"/>
            <w:color w:val="0000FF"/>
          </w:rPr>
          <w:t>Rule 13a-14(a)/15d-14(a) Certification.*</w:t>
        </w:r>
      </w:hyperlink>
    </w:p>
    <w:p>
      <w:pPr>
        <w:spacing w:after="0" w:line="117" w:lineRule="exact"/>
        <w:rPr>
          <w:sz w:val="20"/>
          <w:szCs w:val="20"/>
          <w:color w:val="auto"/>
        </w:rPr>
      </w:pPr>
    </w:p>
    <w:p>
      <w:pPr>
        <w:spacing w:after="0"/>
        <w:rPr>
          <w:rFonts w:ascii="Arial" w:cs="Arial" w:eastAsia="Arial" w:hAnsi="Arial"/>
          <w:sz w:val="18"/>
          <w:szCs w:val="18"/>
          <w:u w:val="single" w:color="auto"/>
          <w:color w:val="0000FF"/>
        </w:rPr>
      </w:pPr>
      <w:hyperlink w:anchor="page136">
        <w:r>
          <w:rPr>
            <w:rFonts w:ascii="Arial" w:cs="Arial" w:eastAsia="Arial" w:hAnsi="Arial"/>
            <w:sz w:val="18"/>
            <w:szCs w:val="18"/>
            <w:u w:val="single" w:color="auto"/>
            <w:color w:val="0000FF"/>
          </w:rPr>
          <w:t>Rule 13a-14(a)/15d-14(a) Certification.*</w:t>
        </w:r>
      </w:hyperlink>
    </w:p>
    <w:p>
      <w:pPr>
        <w:spacing w:after="0" w:line="117" w:lineRule="exact"/>
        <w:rPr>
          <w:sz w:val="20"/>
          <w:szCs w:val="20"/>
          <w:color w:val="auto"/>
        </w:rPr>
      </w:pPr>
    </w:p>
    <w:p>
      <w:pPr>
        <w:spacing w:after="0"/>
        <w:rPr>
          <w:rFonts w:ascii="Arial" w:cs="Arial" w:eastAsia="Arial" w:hAnsi="Arial"/>
          <w:sz w:val="18"/>
          <w:szCs w:val="18"/>
          <w:u w:val="single" w:color="auto"/>
          <w:color w:val="0000FF"/>
        </w:rPr>
      </w:pPr>
      <w:hyperlink w:anchor="page137">
        <w:r>
          <w:rPr>
            <w:rFonts w:ascii="Arial" w:cs="Arial" w:eastAsia="Arial" w:hAnsi="Arial"/>
            <w:sz w:val="18"/>
            <w:szCs w:val="18"/>
            <w:u w:val="single" w:color="auto"/>
            <w:color w:val="0000FF"/>
          </w:rPr>
          <w:t>Section 1350 Certifications.*</w:t>
        </w:r>
      </w:hyperlink>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 tags are embedded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within the Inline XBRL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(File name: utx-20200331.xml)</w:t>
      </w:r>
    </w:p>
    <w:p>
      <w:pPr>
        <w:spacing w:after="0" w:line="103" w:lineRule="exact"/>
        <w:rPr>
          <w:sz w:val="20"/>
          <w:szCs w:val="20"/>
          <w:color w:val="auto"/>
        </w:rPr>
      </w:pPr>
    </w:p>
    <w:p>
      <w:pPr>
        <w:sectPr>
          <w:pgSz w:w="11900" w:h="16838" w:orient="portrait"/>
          <w:cols w:equalWidth="0" w:num="2">
            <w:col w:w="640" w:space="460"/>
            <w:col w:w="10100"/>
          </w:cols>
          <w:pgMar w:left="320" w:top="1228" w:right="379" w:bottom="1440" w:gutter="0" w:footer="0" w:header="0"/>
          <w:type w:val="continuous"/>
        </w:sectPr>
      </w:pPr>
    </w:p>
    <w:tbl>
      <w:tblPr>
        <w:tblLayout w:type="fixed"/>
        <w:tblInd w:w="2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8240" w:type="dxa"/>
            <w:vAlign w:val="bottom"/>
          </w:tcPr>
          <w:p>
            <w:pPr>
              <w:ind w:left="200"/>
              <w:spacing w:after="0"/>
              <w:rPr>
                <w:sz w:val="20"/>
                <w:szCs w:val="20"/>
                <w:color w:val="auto"/>
              </w:rPr>
            </w:pPr>
            <w:r>
              <w:rPr>
                <w:rFonts w:ascii="Arial" w:cs="Arial" w:eastAsia="Arial" w:hAnsi="Arial"/>
                <w:sz w:val="18"/>
                <w:szCs w:val="18"/>
                <w:color w:val="auto"/>
              </w:rPr>
              <w:t>Inline XBRL Taxonomy Extension Schema Document.*</w:t>
            </w:r>
          </w:p>
        </w:tc>
      </w:tr>
      <w:tr>
        <w:trPr>
          <w:trHeight w:val="230"/>
        </w:trPr>
        <w:tc>
          <w:tcPr>
            <w:tcW w:w="880" w:type="dxa"/>
            <w:vAlign w:val="bottom"/>
          </w:tcPr>
          <w:p>
            <w:pPr>
              <w:spacing w:after="0"/>
              <w:rPr>
                <w:sz w:val="20"/>
                <w:szCs w:val="20"/>
                <w:color w:val="auto"/>
              </w:rPr>
            </w:pPr>
          </w:p>
        </w:tc>
        <w:tc>
          <w:tcPr>
            <w:tcW w:w="8240" w:type="dxa"/>
            <w:vAlign w:val="bottom"/>
          </w:tcPr>
          <w:p>
            <w:pPr>
              <w:ind w:left="200"/>
              <w:spacing w:after="0"/>
              <w:rPr>
                <w:sz w:val="20"/>
                <w:szCs w:val="20"/>
                <w:color w:val="auto"/>
              </w:rPr>
            </w:pPr>
            <w:r>
              <w:rPr>
                <w:rFonts w:ascii="Arial" w:cs="Arial" w:eastAsia="Arial" w:hAnsi="Arial"/>
                <w:sz w:val="18"/>
                <w:szCs w:val="18"/>
                <w:color w:val="auto"/>
              </w:rPr>
              <w:t>(File name: utx-20200331.xsd)</w:t>
            </w: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8240" w:type="dxa"/>
            <w:vAlign w:val="bottom"/>
          </w:tcPr>
          <w:p>
            <w:pPr>
              <w:ind w:left="20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30"/>
        </w:trPr>
        <w:tc>
          <w:tcPr>
            <w:tcW w:w="880" w:type="dxa"/>
            <w:vAlign w:val="bottom"/>
          </w:tcPr>
          <w:p>
            <w:pPr>
              <w:spacing w:after="0"/>
              <w:rPr>
                <w:sz w:val="20"/>
                <w:szCs w:val="20"/>
                <w:color w:val="auto"/>
              </w:rPr>
            </w:pPr>
          </w:p>
        </w:tc>
        <w:tc>
          <w:tcPr>
            <w:tcW w:w="8240" w:type="dxa"/>
            <w:vAlign w:val="bottom"/>
          </w:tcPr>
          <w:p>
            <w:pPr>
              <w:ind w:left="200"/>
              <w:spacing w:after="0"/>
              <w:rPr>
                <w:sz w:val="20"/>
                <w:szCs w:val="20"/>
                <w:color w:val="auto"/>
              </w:rPr>
            </w:pPr>
            <w:r>
              <w:rPr>
                <w:rFonts w:ascii="Arial" w:cs="Arial" w:eastAsia="Arial" w:hAnsi="Arial"/>
                <w:sz w:val="18"/>
                <w:szCs w:val="18"/>
                <w:color w:val="auto"/>
              </w:rPr>
              <w:t>(File name: utx-20200331_cal.xml)</w:t>
            </w: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8240" w:type="dxa"/>
            <w:vAlign w:val="bottom"/>
          </w:tcPr>
          <w:p>
            <w:pPr>
              <w:ind w:left="20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30"/>
        </w:trPr>
        <w:tc>
          <w:tcPr>
            <w:tcW w:w="880" w:type="dxa"/>
            <w:vAlign w:val="bottom"/>
          </w:tcPr>
          <w:p>
            <w:pPr>
              <w:spacing w:after="0"/>
              <w:rPr>
                <w:sz w:val="20"/>
                <w:szCs w:val="20"/>
                <w:color w:val="auto"/>
              </w:rPr>
            </w:pPr>
          </w:p>
        </w:tc>
        <w:tc>
          <w:tcPr>
            <w:tcW w:w="8240" w:type="dxa"/>
            <w:vAlign w:val="bottom"/>
          </w:tcPr>
          <w:p>
            <w:pPr>
              <w:ind w:left="200"/>
              <w:spacing w:after="0"/>
              <w:rPr>
                <w:sz w:val="20"/>
                <w:szCs w:val="20"/>
                <w:color w:val="auto"/>
              </w:rPr>
            </w:pPr>
            <w:r>
              <w:rPr>
                <w:rFonts w:ascii="Arial" w:cs="Arial" w:eastAsia="Arial" w:hAnsi="Arial"/>
                <w:sz w:val="18"/>
                <w:szCs w:val="18"/>
                <w:color w:val="auto"/>
              </w:rPr>
              <w:t>(File name: utx-20200331_def.xml)</w:t>
            </w: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8240" w:type="dxa"/>
            <w:vAlign w:val="bottom"/>
          </w:tcPr>
          <w:p>
            <w:pPr>
              <w:ind w:left="20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0"/>
        </w:trPr>
        <w:tc>
          <w:tcPr>
            <w:tcW w:w="880" w:type="dxa"/>
            <w:vAlign w:val="bottom"/>
          </w:tcPr>
          <w:p>
            <w:pPr>
              <w:spacing w:after="0"/>
              <w:rPr>
                <w:sz w:val="20"/>
                <w:szCs w:val="20"/>
                <w:color w:val="auto"/>
              </w:rPr>
            </w:pPr>
          </w:p>
        </w:tc>
        <w:tc>
          <w:tcPr>
            <w:tcW w:w="8240" w:type="dxa"/>
            <w:vAlign w:val="bottom"/>
          </w:tcPr>
          <w:p>
            <w:pPr>
              <w:ind w:left="200"/>
              <w:spacing w:after="0"/>
              <w:rPr>
                <w:sz w:val="20"/>
                <w:szCs w:val="20"/>
                <w:color w:val="auto"/>
              </w:rPr>
            </w:pPr>
            <w:r>
              <w:rPr>
                <w:rFonts w:ascii="Arial" w:cs="Arial" w:eastAsia="Arial" w:hAnsi="Arial"/>
                <w:sz w:val="18"/>
                <w:szCs w:val="18"/>
                <w:color w:val="auto"/>
              </w:rPr>
              <w:t>(File name: utx-20200331_lab.xml)</w:t>
            </w: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8240" w:type="dxa"/>
            <w:vAlign w:val="bottom"/>
          </w:tcPr>
          <w:p>
            <w:pPr>
              <w:ind w:left="20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880" w:type="dxa"/>
            <w:vAlign w:val="bottom"/>
          </w:tcPr>
          <w:p>
            <w:pPr>
              <w:spacing w:after="0"/>
              <w:rPr>
                <w:sz w:val="20"/>
                <w:szCs w:val="20"/>
                <w:color w:val="auto"/>
              </w:rPr>
            </w:pPr>
          </w:p>
        </w:tc>
        <w:tc>
          <w:tcPr>
            <w:tcW w:w="8240" w:type="dxa"/>
            <w:vAlign w:val="bottom"/>
          </w:tcPr>
          <w:p>
            <w:pPr>
              <w:ind w:left="200"/>
              <w:spacing w:after="0"/>
              <w:rPr>
                <w:sz w:val="20"/>
                <w:szCs w:val="20"/>
                <w:color w:val="auto"/>
              </w:rPr>
            </w:pPr>
            <w:r>
              <w:rPr>
                <w:rFonts w:ascii="Arial" w:cs="Arial" w:eastAsia="Arial" w:hAnsi="Arial"/>
                <w:sz w:val="18"/>
                <w:szCs w:val="18"/>
                <w:color w:val="auto"/>
              </w:rPr>
              <w:t>(File name: utx-20200331_pre.xml)</w:t>
            </w:r>
          </w:p>
        </w:tc>
      </w:tr>
      <w:tr>
        <w:trPr>
          <w:trHeight w:val="378"/>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8240" w:type="dxa"/>
            <w:vAlign w:val="bottom"/>
          </w:tcPr>
          <w:p>
            <w:pPr>
              <w:ind w:left="200"/>
              <w:spacing w:after="0"/>
              <w:rPr>
                <w:sz w:val="20"/>
                <w:szCs w:val="20"/>
                <w:color w:val="auto"/>
              </w:rPr>
            </w:pPr>
            <w:r>
              <w:rPr>
                <w:rFonts w:ascii="Arial" w:cs="Arial" w:eastAsia="Arial" w:hAnsi="Arial"/>
                <w:sz w:val="18"/>
                <w:szCs w:val="18"/>
                <w:color w:val="auto"/>
                <w:w w:val="91"/>
              </w:rPr>
              <w:t>Cover Page Interactive Data File - the cover page XBRL tags are embedded within the Inline XBRL document.</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Exhibits List: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Submitted electronically herewith.</w:t>
      </w:r>
    </w:p>
    <w:p>
      <w:pPr>
        <w:spacing w:after="0" w:line="117"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Attached as Exhibit 101 to this report are the following formatted in Inline XBRL (Extensible Business Reporting Language): (i) Condensed Consolidated Statements of Operations for the quarters ended March 31, 2020 and 2019, (ii) Condensed Consolidated Statements of Comprehensive Income for the quarters ended March 31, 2020 and 2019, (iii) Condensed Consolidated Balance Sheets as of March 31, 2020 and December 31, 2019, (iv) Condensed Consolidated Statements of Cash Flows for the quarters ended March 31, 2020 and 2019, (v) Condensed Consolidated Statement of Changes in Equity for the quarters ended March 31, 2020 and 2019 and (vi)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type w:val="continuous"/>
        </w:sectPr>
      </w:pPr>
    </w:p>
    <w:bookmarkStart w:id="71" w:name="page72"/>
    <w:bookmarkEnd w:id="71"/>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6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RAYTHEON TECHNOLOGIES CORPORATION</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(Registrant)</w:t>
      </w:r>
    </w:p>
    <w:p>
      <w:pPr>
        <w:spacing w:after="0" w:line="103" w:lineRule="exact"/>
        <w:rPr>
          <w:sz w:val="20"/>
          <w:szCs w:val="20"/>
          <w:color w:val="auto"/>
        </w:rPr>
      </w:pPr>
    </w:p>
    <w:p>
      <w:pPr>
        <w:ind w:left="20"/>
        <w:spacing w:after="0"/>
        <w:tabs>
          <w:tab w:leader="none" w:pos="780" w:val="left"/>
          <w:tab w:leader="none" w:pos="4800" w:val="left"/>
          <w:tab w:leader="none" w:pos="73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May 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w:t>
      </w:r>
      <w:r>
        <w:rPr>
          <w:rFonts w:ascii="Arial" w:cs="Arial" w:eastAsia="Arial" w:hAnsi="Arial"/>
          <w:sz w:val="13"/>
          <w:szCs w:val="13"/>
          <w:color w:val="auto"/>
        </w:rPr>
        <w:t>NTHONY</w:t>
      </w:r>
      <w:r>
        <w:rPr>
          <w:rFonts w:ascii="Arial" w:cs="Arial" w:eastAsia="Arial" w:hAnsi="Arial"/>
          <w:sz w:val="17"/>
          <w:szCs w:val="17"/>
          <w:color w:val="auto"/>
        </w:rPr>
        <w:t xml:space="preserve"> F. O'B</w:t>
      </w:r>
      <w:r>
        <w:rPr>
          <w:rFonts w:ascii="Arial" w:cs="Arial" w:eastAsia="Arial" w:hAnsi="Arial"/>
          <w:sz w:val="13"/>
          <w:szCs w:val="13"/>
          <w:color w:val="auto"/>
        </w:rPr>
        <w:t>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31750</wp:posOffset>
            </wp:positionV>
            <wp:extent cx="378904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spacing w:after="0" w:line="48" w:lineRule="exact"/>
        <w:rPr>
          <w:sz w:val="20"/>
          <w:szCs w:val="20"/>
          <w:color w:val="auto"/>
        </w:rPr>
      </w:pPr>
    </w:p>
    <w:p>
      <w:pPr>
        <w:jc w:val="center"/>
        <w:ind w:left="5200"/>
        <w:spacing w:after="0"/>
        <w:rPr>
          <w:sz w:val="20"/>
          <w:szCs w:val="20"/>
          <w:color w:val="auto"/>
        </w:rPr>
      </w:pPr>
      <w:r>
        <w:rPr>
          <w:rFonts w:ascii="Arial" w:cs="Arial" w:eastAsia="Arial" w:hAnsi="Arial"/>
          <w:sz w:val="14"/>
          <w:szCs w:val="14"/>
          <w:b w:val="1"/>
          <w:bCs w:val="1"/>
          <w:color w:val="auto"/>
        </w:rPr>
        <w:t>Anthony F. O’Brien</w:t>
      </w:r>
    </w:p>
    <w:p>
      <w:pPr>
        <w:spacing w:after="0" w:line="42" w:lineRule="exact"/>
        <w:rPr>
          <w:sz w:val="20"/>
          <w:szCs w:val="20"/>
          <w:color w:val="auto"/>
        </w:rPr>
      </w:pPr>
    </w:p>
    <w:p>
      <w:pPr>
        <w:jc w:val="center"/>
        <w:ind w:left="5200"/>
        <w:spacing w:after="0"/>
        <w:rPr>
          <w:sz w:val="20"/>
          <w:szCs w:val="20"/>
          <w:color w:val="auto"/>
        </w:rPr>
      </w:pPr>
      <w:r>
        <w:rPr>
          <w:rFonts w:ascii="Arial" w:cs="Arial" w:eastAsia="Arial" w:hAnsi="Arial"/>
          <w:sz w:val="14"/>
          <w:szCs w:val="14"/>
          <w:b w:val="1"/>
          <w:bCs w:val="1"/>
          <w:color w:val="auto"/>
        </w:rPr>
        <w:t>Executive Vice President and Chief Financial Officer</w:t>
      </w:r>
    </w:p>
    <w:p>
      <w:pPr>
        <w:spacing w:after="0" w:line="104"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(on behalf of the Registrant and as the Registrant's Principal Financial Officer)</w:t>
      </w:r>
    </w:p>
    <w:p>
      <w:pPr>
        <w:spacing w:after="0" w:line="213" w:lineRule="exact"/>
        <w:rPr>
          <w:sz w:val="20"/>
          <w:szCs w:val="20"/>
          <w:color w:val="auto"/>
        </w:rPr>
      </w:pPr>
    </w:p>
    <w:p>
      <w:pPr>
        <w:ind w:left="20"/>
        <w:spacing w:after="0"/>
        <w:tabs>
          <w:tab w:leader="none" w:pos="780" w:val="left"/>
          <w:tab w:leader="none" w:pos="4800" w:val="left"/>
          <w:tab w:leader="none" w:pos="74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May 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M</w:t>
      </w:r>
      <w:r>
        <w:rPr>
          <w:rFonts w:ascii="Arial" w:cs="Arial" w:eastAsia="Arial" w:hAnsi="Arial"/>
          <w:sz w:val="23"/>
          <w:szCs w:val="23"/>
          <w:color w:val="auto"/>
          <w:vertAlign w:val="subscript"/>
        </w:rPr>
        <w:t>ICHAEL</w:t>
      </w:r>
      <w:r>
        <w:rPr>
          <w:rFonts w:ascii="Arial" w:cs="Arial" w:eastAsia="Arial" w:hAnsi="Arial"/>
          <w:sz w:val="15"/>
          <w:szCs w:val="15"/>
          <w:color w:val="auto"/>
        </w:rPr>
        <w:t xml:space="preserve"> J. W</w:t>
      </w:r>
      <w:r>
        <w:rPr>
          <w:rFonts w:ascii="Arial" w:cs="Arial" w:eastAsia="Arial" w:hAnsi="Arial"/>
          <w:sz w:val="23"/>
          <w:szCs w:val="23"/>
          <w:color w:val="auto"/>
          <w:vertAlign w:val="subscript"/>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77470</wp:posOffset>
            </wp:positionV>
            <wp:extent cx="378904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spacing w:after="0" w:line="120" w:lineRule="exact"/>
        <w:rPr>
          <w:sz w:val="20"/>
          <w:szCs w:val="20"/>
          <w:color w:val="auto"/>
        </w:rPr>
      </w:pPr>
    </w:p>
    <w:p>
      <w:pPr>
        <w:jc w:val="center"/>
        <w:ind w:left="5200"/>
        <w:spacing w:after="0"/>
        <w:rPr>
          <w:sz w:val="20"/>
          <w:szCs w:val="20"/>
          <w:color w:val="auto"/>
        </w:rPr>
      </w:pPr>
      <w:r>
        <w:rPr>
          <w:rFonts w:ascii="Arial" w:cs="Arial" w:eastAsia="Arial" w:hAnsi="Arial"/>
          <w:sz w:val="14"/>
          <w:szCs w:val="14"/>
          <w:b w:val="1"/>
          <w:bCs w:val="1"/>
          <w:color w:val="auto"/>
        </w:rPr>
        <w:t>Michael J. Wood</w:t>
      </w:r>
    </w:p>
    <w:p>
      <w:pPr>
        <w:spacing w:after="0" w:line="42" w:lineRule="exact"/>
        <w:rPr>
          <w:sz w:val="20"/>
          <w:szCs w:val="20"/>
          <w:color w:val="auto"/>
        </w:rPr>
      </w:pPr>
    </w:p>
    <w:p>
      <w:pPr>
        <w:jc w:val="center"/>
        <w:ind w:left="5240"/>
        <w:spacing w:after="0"/>
        <w:rPr>
          <w:sz w:val="20"/>
          <w:szCs w:val="20"/>
          <w:color w:val="auto"/>
        </w:rPr>
      </w:pPr>
      <w:r>
        <w:rPr>
          <w:rFonts w:ascii="Arial" w:cs="Arial" w:eastAsia="Arial" w:hAnsi="Arial"/>
          <w:sz w:val="14"/>
          <w:szCs w:val="14"/>
          <w:b w:val="1"/>
          <w:bCs w:val="1"/>
          <w:color w:val="auto"/>
        </w:rPr>
        <w:t>Corporate Vice President and Controller</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(on behalf of the Registrant and as the Registrant's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40"/>
          </w:cols>
          <w:pgMar w:left="320" w:top="1228" w:right="43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4"/>
          <w:szCs w:val="14"/>
          <w:color w:val="auto"/>
        </w:rPr>
        <w:t>Internal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UNITED TECHNOLOGIES CORPORATION</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BOARD OF DIRECTORS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DEFERRED STOCK UNIT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As Amended and Restated Effective January 1, 2020</w:t>
      </w:r>
    </w:p>
    <w:p>
      <w:pPr>
        <w:sectPr>
          <w:pgSz w:w="11900" w:h="16838" w:orient="portrait"/>
          <w:cols w:equalWidth="0" w:num="1">
            <w:col w:w="9019"/>
          </w:cols>
          <w:pgMar w:left="1440" w:top="144" w:right="1440" w:bottom="1440" w:gutter="0" w:footer="0" w:header="0"/>
        </w:sectPr>
      </w:pPr>
    </w:p>
    <w:bookmarkStart w:id="73" w:name="page74"/>
    <w:bookmarkEnd w:id="73"/>
    <w:p>
      <w:pPr>
        <w:jc w:val="center"/>
        <w:ind w:right="280"/>
        <w:spacing w:after="0"/>
        <w:rPr>
          <w:sz w:val="20"/>
          <w:szCs w:val="20"/>
          <w:color w:val="auto"/>
        </w:rPr>
      </w:pPr>
      <w:r>
        <w:rPr>
          <w:rFonts w:ascii="Arial" w:cs="Arial" w:eastAsia="Arial" w:hAnsi="Arial"/>
          <w:sz w:val="14"/>
          <w:szCs w:val="14"/>
          <w:color w:val="auto"/>
        </w:rPr>
        <w:t>Internal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80"/>
        <w:spacing w:after="0" w:line="256" w:lineRule="auto"/>
        <w:rPr>
          <w:sz w:val="20"/>
          <w:szCs w:val="20"/>
          <w:color w:val="auto"/>
        </w:rPr>
      </w:pPr>
      <w:r>
        <w:rPr>
          <w:rFonts w:ascii="Arial" w:cs="Arial" w:eastAsia="Arial" w:hAnsi="Arial"/>
          <w:sz w:val="22"/>
          <w:szCs w:val="22"/>
          <w:b w:val="1"/>
          <w:bCs w:val="1"/>
          <w:color w:val="auto"/>
        </w:rPr>
        <w:t>UNITED TECHNOLOGIES CORPORATION BOARD OF DIRECTORSDEFERRED STOCK UNIT PLAN Table of Contents</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940"/>
          </w:cols>
          <w:pgMar w:left="620" w:top="144" w:right="339" w:bottom="1440" w:gutter="0" w:footer="0" w:header="0"/>
        </w:sectPr>
      </w:pPr>
    </w:p>
    <w:bookmarkStart w:id="74" w:name="page75"/>
    <w:bookmarkEnd w:id="74"/>
    <w:p>
      <w:pPr>
        <w:ind w:left="5040"/>
        <w:spacing w:after="0"/>
        <w:rPr>
          <w:sz w:val="20"/>
          <w:szCs w:val="20"/>
          <w:color w:val="auto"/>
        </w:rPr>
      </w:pPr>
      <w:r>
        <w:rPr>
          <w:rFonts w:ascii="Arial" w:cs="Arial" w:eastAsia="Arial" w:hAnsi="Arial"/>
          <w:sz w:val="14"/>
          <w:szCs w:val="14"/>
          <w:color w:val="auto"/>
        </w:rPr>
        <w:t>Internal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7940" w:type="dxa"/>
            <w:vAlign w:val="bottom"/>
            <w:gridSpan w:val="2"/>
          </w:tcPr>
          <w:p>
            <w:pPr>
              <w:spacing w:after="0"/>
              <w:rPr>
                <w:rFonts w:ascii="Arial" w:cs="Arial" w:eastAsia="Arial" w:hAnsi="Arial"/>
                <w:sz w:val="22"/>
                <w:szCs w:val="22"/>
                <w:u w:val="single" w:color="auto"/>
                <w:color w:val="0000FF"/>
              </w:rPr>
            </w:pPr>
            <w:hyperlink w:anchor="page78">
              <w:r>
                <w:rPr>
                  <w:rFonts w:ascii="Arial" w:cs="Arial" w:eastAsia="Arial" w:hAnsi="Arial"/>
                  <w:sz w:val="22"/>
                  <w:szCs w:val="22"/>
                  <w:u w:val="single" w:color="auto"/>
                  <w:color w:val="0000FF"/>
                </w:rPr>
                <w:t>Article I INTRODUCTION AND PURPOSE</w:t>
              </w:r>
            </w:hyperlink>
          </w:p>
        </w:tc>
        <w:tc>
          <w:tcPr>
            <w:tcW w:w="2580" w:type="dxa"/>
            <w:vAlign w:val="bottom"/>
          </w:tcPr>
          <w:p>
            <w:pPr>
              <w:ind w:left="2360"/>
              <w:spacing w:after="0"/>
              <w:rPr>
                <w:rFonts w:ascii="Arial" w:cs="Arial" w:eastAsia="Arial" w:hAnsi="Arial"/>
                <w:sz w:val="22"/>
                <w:szCs w:val="22"/>
                <w:u w:val="single" w:color="auto"/>
                <w:color w:val="auto"/>
              </w:rPr>
            </w:pPr>
            <w:hyperlink w:anchor="page78">
              <w:r>
                <w:rPr>
                  <w:rFonts w:ascii="Arial" w:cs="Arial" w:eastAsia="Arial" w:hAnsi="Arial"/>
                  <w:sz w:val="22"/>
                  <w:szCs w:val="22"/>
                  <w:u w:val="single" w:color="auto"/>
                  <w:color w:val="auto"/>
                </w:rPr>
                <w:t>1</w:t>
              </w:r>
            </w:hyperlink>
          </w:p>
        </w:tc>
      </w:tr>
      <w:tr>
        <w:trPr>
          <w:trHeight w:val="311"/>
        </w:trPr>
        <w:tc>
          <w:tcPr>
            <w:tcW w:w="400" w:type="dxa"/>
            <w:vAlign w:val="bottom"/>
          </w:tcPr>
          <w:p>
            <w:pPr>
              <w:spacing w:after="0"/>
              <w:rPr>
                <w:rFonts w:ascii="Arial" w:cs="Arial" w:eastAsia="Arial" w:hAnsi="Arial"/>
                <w:sz w:val="22"/>
                <w:szCs w:val="22"/>
                <w:u w:val="single" w:color="auto"/>
                <w:color w:val="0000FF"/>
                <w:w w:val="88"/>
              </w:rPr>
            </w:pPr>
            <w:hyperlink w:anchor="page78">
              <w:r>
                <w:rPr>
                  <w:rFonts w:ascii="Arial" w:cs="Arial" w:eastAsia="Arial" w:hAnsi="Arial"/>
                  <w:sz w:val="22"/>
                  <w:szCs w:val="22"/>
                  <w:u w:val="single" w:color="auto"/>
                  <w:color w:val="0000FF"/>
                  <w:w w:val="88"/>
                </w:rPr>
                <w:t>1.01</w:t>
              </w:r>
            </w:hyperlink>
          </w:p>
        </w:tc>
        <w:tc>
          <w:tcPr>
            <w:tcW w:w="7540" w:type="dxa"/>
            <w:vAlign w:val="bottom"/>
          </w:tcPr>
          <w:p>
            <w:pPr>
              <w:ind w:left="40"/>
              <w:spacing w:after="0"/>
              <w:rPr>
                <w:rFonts w:ascii="Arial" w:cs="Arial" w:eastAsia="Arial" w:hAnsi="Arial"/>
                <w:sz w:val="22"/>
                <w:szCs w:val="22"/>
                <w:u w:val="single" w:color="auto"/>
                <w:color w:val="0000FF"/>
              </w:rPr>
            </w:pPr>
            <w:hyperlink w:anchor="page78">
              <w:r>
                <w:rPr>
                  <w:rFonts w:ascii="Arial" w:cs="Arial" w:eastAsia="Arial" w:hAnsi="Arial"/>
                  <w:sz w:val="22"/>
                  <w:szCs w:val="22"/>
                  <w:u w:val="single" w:color="auto"/>
                  <w:color w:val="0000FF"/>
                </w:rPr>
                <w:t>Purpose of Plan</w:t>
              </w:r>
            </w:hyperlink>
          </w:p>
        </w:tc>
        <w:tc>
          <w:tcPr>
            <w:tcW w:w="2580" w:type="dxa"/>
            <w:vAlign w:val="bottom"/>
          </w:tcPr>
          <w:p>
            <w:pPr>
              <w:ind w:left="2360"/>
              <w:spacing w:after="0"/>
              <w:rPr>
                <w:rFonts w:ascii="Arial" w:cs="Arial" w:eastAsia="Arial" w:hAnsi="Arial"/>
                <w:sz w:val="22"/>
                <w:szCs w:val="22"/>
                <w:u w:val="single" w:color="auto"/>
                <w:color w:val="auto"/>
              </w:rPr>
            </w:pPr>
            <w:hyperlink w:anchor="page78">
              <w:r>
                <w:rPr>
                  <w:rFonts w:ascii="Arial" w:cs="Arial" w:eastAsia="Arial" w:hAnsi="Arial"/>
                  <w:sz w:val="22"/>
                  <w:szCs w:val="22"/>
                  <w:u w:val="single" w:color="auto"/>
                  <w:color w:val="auto"/>
                </w:rPr>
                <w:t>1</w:t>
              </w:r>
            </w:hyperlink>
          </w:p>
        </w:tc>
      </w:tr>
      <w:tr>
        <w:trPr>
          <w:trHeight w:val="310"/>
        </w:trPr>
        <w:tc>
          <w:tcPr>
            <w:tcW w:w="7940" w:type="dxa"/>
            <w:vAlign w:val="bottom"/>
            <w:gridSpan w:val="2"/>
          </w:tcPr>
          <w:p>
            <w:pPr>
              <w:spacing w:after="0"/>
              <w:rPr>
                <w:rFonts w:ascii="Arial" w:cs="Arial" w:eastAsia="Arial" w:hAnsi="Arial"/>
                <w:sz w:val="22"/>
                <w:szCs w:val="22"/>
                <w:u w:val="single" w:color="auto"/>
                <w:color w:val="0000FF"/>
              </w:rPr>
            </w:pPr>
            <w:hyperlink w:anchor="page78">
              <w:r>
                <w:rPr>
                  <w:rFonts w:ascii="Arial" w:cs="Arial" w:eastAsia="Arial" w:hAnsi="Arial"/>
                  <w:sz w:val="22"/>
                  <w:szCs w:val="22"/>
                  <w:u w:val="single" w:color="auto"/>
                  <w:color w:val="0000FF"/>
                </w:rPr>
                <w:t>1.02 Effective Date of Plan and Amendments</w:t>
              </w:r>
            </w:hyperlink>
          </w:p>
        </w:tc>
        <w:tc>
          <w:tcPr>
            <w:tcW w:w="2580" w:type="dxa"/>
            <w:vAlign w:val="bottom"/>
          </w:tcPr>
          <w:p>
            <w:pPr>
              <w:ind w:left="2360"/>
              <w:spacing w:after="0"/>
              <w:rPr>
                <w:rFonts w:ascii="Arial" w:cs="Arial" w:eastAsia="Arial" w:hAnsi="Arial"/>
                <w:sz w:val="22"/>
                <w:szCs w:val="22"/>
                <w:u w:val="single" w:color="auto"/>
                <w:color w:val="auto"/>
              </w:rPr>
            </w:pPr>
            <w:hyperlink w:anchor="page78">
              <w:r>
                <w:rPr>
                  <w:rFonts w:ascii="Arial" w:cs="Arial" w:eastAsia="Arial" w:hAnsi="Arial"/>
                  <w:sz w:val="22"/>
                  <w:szCs w:val="22"/>
                  <w:u w:val="single" w:color="auto"/>
                  <w:color w:val="auto"/>
                </w:rPr>
                <w:t>1</w:t>
              </w:r>
            </w:hyperlink>
          </w:p>
        </w:tc>
      </w:tr>
      <w:tr>
        <w:trPr>
          <w:trHeight w:val="311"/>
        </w:trPr>
        <w:tc>
          <w:tcPr>
            <w:tcW w:w="400" w:type="dxa"/>
            <w:vAlign w:val="bottom"/>
          </w:tcPr>
          <w:p>
            <w:pPr>
              <w:spacing w:after="0"/>
              <w:rPr>
                <w:rFonts w:ascii="Arial" w:cs="Arial" w:eastAsia="Arial" w:hAnsi="Arial"/>
                <w:sz w:val="22"/>
                <w:szCs w:val="22"/>
                <w:u w:val="single" w:color="auto"/>
                <w:color w:val="0000FF"/>
                <w:w w:val="88"/>
              </w:rPr>
            </w:pPr>
            <w:hyperlink w:anchor="page78">
              <w:r>
                <w:rPr>
                  <w:rFonts w:ascii="Arial" w:cs="Arial" w:eastAsia="Arial" w:hAnsi="Arial"/>
                  <w:sz w:val="22"/>
                  <w:szCs w:val="22"/>
                  <w:u w:val="single" w:color="auto"/>
                  <w:color w:val="0000FF"/>
                  <w:w w:val="88"/>
                </w:rPr>
                <w:t>1.03</w:t>
              </w:r>
            </w:hyperlink>
          </w:p>
        </w:tc>
        <w:tc>
          <w:tcPr>
            <w:tcW w:w="7540" w:type="dxa"/>
            <w:vAlign w:val="bottom"/>
          </w:tcPr>
          <w:p>
            <w:pPr>
              <w:ind w:left="40"/>
              <w:spacing w:after="0"/>
              <w:rPr>
                <w:rFonts w:ascii="Arial" w:cs="Arial" w:eastAsia="Arial" w:hAnsi="Arial"/>
                <w:sz w:val="22"/>
                <w:szCs w:val="22"/>
                <w:u w:val="single" w:color="auto"/>
                <w:color w:val="0000FF"/>
              </w:rPr>
            </w:pPr>
            <w:hyperlink w:anchor="page78">
              <w:r>
                <w:rPr>
                  <w:rFonts w:ascii="Arial" w:cs="Arial" w:eastAsia="Arial" w:hAnsi="Arial"/>
                  <w:sz w:val="22"/>
                  <w:szCs w:val="22"/>
                  <w:u w:val="single" w:color="auto"/>
                  <w:color w:val="0000FF"/>
                </w:rPr>
                <w:t>Impact of Carrier and Otis Spin-off</w:t>
              </w:r>
            </w:hyperlink>
          </w:p>
        </w:tc>
        <w:tc>
          <w:tcPr>
            <w:tcW w:w="2580" w:type="dxa"/>
            <w:vAlign w:val="bottom"/>
          </w:tcPr>
          <w:p>
            <w:pPr>
              <w:ind w:left="2360"/>
              <w:spacing w:after="0"/>
              <w:rPr>
                <w:rFonts w:ascii="Arial" w:cs="Arial" w:eastAsia="Arial" w:hAnsi="Arial"/>
                <w:sz w:val="22"/>
                <w:szCs w:val="22"/>
                <w:u w:val="single" w:color="auto"/>
                <w:color w:val="auto"/>
              </w:rPr>
            </w:pPr>
            <w:hyperlink w:anchor="page78">
              <w:r>
                <w:rPr>
                  <w:rFonts w:ascii="Arial" w:cs="Arial" w:eastAsia="Arial" w:hAnsi="Arial"/>
                  <w:sz w:val="22"/>
                  <w:szCs w:val="22"/>
                  <w:u w:val="single" w:color="auto"/>
                  <w:color w:val="auto"/>
                </w:rPr>
                <w:t>2</w:t>
              </w:r>
            </w:hyperlink>
          </w:p>
        </w:tc>
      </w:tr>
      <w:tr>
        <w:trPr>
          <w:trHeight w:val="310"/>
        </w:trPr>
        <w:tc>
          <w:tcPr>
            <w:tcW w:w="7940" w:type="dxa"/>
            <w:vAlign w:val="bottom"/>
            <w:gridSpan w:val="2"/>
          </w:tcPr>
          <w:p>
            <w:pPr>
              <w:spacing w:after="0"/>
              <w:rPr>
                <w:rFonts w:ascii="Arial" w:cs="Arial" w:eastAsia="Arial" w:hAnsi="Arial"/>
                <w:sz w:val="22"/>
                <w:szCs w:val="22"/>
                <w:u w:val="single" w:color="auto"/>
                <w:color w:val="0000FF"/>
              </w:rPr>
            </w:pPr>
            <w:hyperlink w:anchor="page78">
              <w:r>
                <w:rPr>
                  <w:rFonts w:ascii="Arial" w:cs="Arial" w:eastAsia="Arial" w:hAnsi="Arial"/>
                  <w:sz w:val="22"/>
                  <w:szCs w:val="22"/>
                  <w:u w:val="single" w:color="auto"/>
                  <w:color w:val="0000FF"/>
                </w:rPr>
                <w:t>Article II DEFINITIONS</w:t>
              </w:r>
            </w:hyperlink>
          </w:p>
        </w:tc>
        <w:tc>
          <w:tcPr>
            <w:tcW w:w="2580" w:type="dxa"/>
            <w:vAlign w:val="bottom"/>
          </w:tcPr>
          <w:p>
            <w:pPr>
              <w:ind w:left="2360"/>
              <w:spacing w:after="0"/>
              <w:rPr>
                <w:rFonts w:ascii="Arial" w:cs="Arial" w:eastAsia="Arial" w:hAnsi="Arial"/>
                <w:sz w:val="22"/>
                <w:szCs w:val="22"/>
                <w:u w:val="single" w:color="auto"/>
                <w:color w:val="auto"/>
              </w:rPr>
            </w:pPr>
            <w:hyperlink w:anchor="page78">
              <w:r>
                <w:rPr>
                  <w:rFonts w:ascii="Arial" w:cs="Arial" w:eastAsia="Arial" w:hAnsi="Arial"/>
                  <w:sz w:val="22"/>
                  <w:szCs w:val="22"/>
                  <w:u w:val="single" w:color="auto"/>
                  <w:color w:val="auto"/>
                </w:rPr>
                <w:t>3</w:t>
              </w:r>
            </w:hyperlink>
          </w:p>
        </w:tc>
      </w:tr>
      <w:tr>
        <w:trPr>
          <w:trHeight w:val="311"/>
        </w:trPr>
        <w:tc>
          <w:tcPr>
            <w:tcW w:w="7940" w:type="dxa"/>
            <w:vAlign w:val="bottom"/>
            <w:gridSpan w:val="2"/>
          </w:tcPr>
          <w:p>
            <w:pPr>
              <w:spacing w:after="0"/>
              <w:rPr>
                <w:rFonts w:ascii="Arial" w:cs="Arial" w:eastAsia="Arial" w:hAnsi="Arial"/>
                <w:sz w:val="22"/>
                <w:szCs w:val="22"/>
                <w:u w:val="single" w:color="auto"/>
                <w:color w:val="0000FF"/>
              </w:rPr>
            </w:pPr>
            <w:hyperlink w:anchor="page78">
              <w:r>
                <w:rPr>
                  <w:rFonts w:ascii="Arial" w:cs="Arial" w:eastAsia="Arial" w:hAnsi="Arial"/>
                  <w:sz w:val="22"/>
                  <w:szCs w:val="22"/>
                  <w:u w:val="single" w:color="auto"/>
                  <w:color w:val="0000FF"/>
                </w:rPr>
                <w:t>Article III ELIGIBLE COMPENSATION</w:t>
              </w:r>
            </w:hyperlink>
          </w:p>
        </w:tc>
        <w:tc>
          <w:tcPr>
            <w:tcW w:w="2580" w:type="dxa"/>
            <w:vAlign w:val="bottom"/>
          </w:tcPr>
          <w:p>
            <w:pPr>
              <w:ind w:left="2360"/>
              <w:spacing w:after="0"/>
              <w:rPr>
                <w:rFonts w:ascii="Arial" w:cs="Arial" w:eastAsia="Arial" w:hAnsi="Arial"/>
                <w:sz w:val="22"/>
                <w:szCs w:val="22"/>
                <w:u w:val="single" w:color="auto"/>
                <w:color w:val="auto"/>
              </w:rPr>
            </w:pPr>
            <w:hyperlink w:anchor="page78">
              <w:r>
                <w:rPr>
                  <w:rFonts w:ascii="Arial" w:cs="Arial" w:eastAsia="Arial" w:hAnsi="Arial"/>
                  <w:sz w:val="22"/>
                  <w:szCs w:val="22"/>
                  <w:u w:val="single" w:color="auto"/>
                  <w:color w:val="auto"/>
                </w:rPr>
                <w:t>7</w:t>
              </w:r>
            </w:hyperlink>
          </w:p>
        </w:tc>
      </w:tr>
      <w:tr>
        <w:trPr>
          <w:trHeight w:val="311"/>
        </w:trPr>
        <w:tc>
          <w:tcPr>
            <w:tcW w:w="400" w:type="dxa"/>
            <w:vAlign w:val="bottom"/>
          </w:tcPr>
          <w:p>
            <w:pPr>
              <w:spacing w:after="0"/>
              <w:rPr>
                <w:rFonts w:ascii="Arial" w:cs="Arial" w:eastAsia="Arial" w:hAnsi="Arial"/>
                <w:sz w:val="22"/>
                <w:szCs w:val="22"/>
                <w:u w:val="single" w:color="auto"/>
                <w:color w:val="0000FF"/>
                <w:w w:val="88"/>
              </w:rPr>
            </w:pPr>
            <w:hyperlink w:anchor="page78">
              <w:r>
                <w:rPr>
                  <w:rFonts w:ascii="Arial" w:cs="Arial" w:eastAsia="Arial" w:hAnsi="Arial"/>
                  <w:sz w:val="22"/>
                  <w:szCs w:val="22"/>
                  <w:u w:val="single" w:color="auto"/>
                  <w:color w:val="0000FF"/>
                  <w:w w:val="88"/>
                </w:rPr>
                <w:t>3.01</w:t>
              </w:r>
            </w:hyperlink>
          </w:p>
        </w:tc>
        <w:tc>
          <w:tcPr>
            <w:tcW w:w="7540" w:type="dxa"/>
            <w:vAlign w:val="bottom"/>
          </w:tcPr>
          <w:p>
            <w:pPr>
              <w:ind w:left="40"/>
              <w:spacing w:after="0"/>
              <w:rPr>
                <w:rFonts w:ascii="Arial" w:cs="Arial" w:eastAsia="Arial" w:hAnsi="Arial"/>
                <w:sz w:val="22"/>
                <w:szCs w:val="22"/>
                <w:u w:val="single" w:color="auto"/>
                <w:color w:val="0000FF"/>
              </w:rPr>
            </w:pPr>
            <w:hyperlink w:anchor="page78">
              <w:r>
                <w:rPr>
                  <w:rFonts w:ascii="Arial" w:cs="Arial" w:eastAsia="Arial" w:hAnsi="Arial"/>
                  <w:sz w:val="22"/>
                  <w:szCs w:val="22"/>
                  <w:u w:val="single" w:color="auto"/>
                  <w:color w:val="0000FF"/>
                </w:rPr>
                <w:t>Annual Retainer</w:t>
              </w:r>
            </w:hyperlink>
          </w:p>
        </w:tc>
        <w:tc>
          <w:tcPr>
            <w:tcW w:w="2580" w:type="dxa"/>
            <w:vAlign w:val="bottom"/>
          </w:tcPr>
          <w:p>
            <w:pPr>
              <w:ind w:left="2360"/>
              <w:spacing w:after="0"/>
              <w:rPr>
                <w:rFonts w:ascii="Arial" w:cs="Arial" w:eastAsia="Arial" w:hAnsi="Arial"/>
                <w:sz w:val="22"/>
                <w:szCs w:val="22"/>
                <w:u w:val="single" w:color="auto"/>
                <w:color w:val="auto"/>
              </w:rPr>
            </w:pPr>
            <w:hyperlink w:anchor="page78">
              <w:r>
                <w:rPr>
                  <w:rFonts w:ascii="Arial" w:cs="Arial" w:eastAsia="Arial" w:hAnsi="Arial"/>
                  <w:sz w:val="22"/>
                  <w:szCs w:val="22"/>
                  <w:u w:val="single" w:color="auto"/>
                  <w:color w:val="auto"/>
                </w:rPr>
                <w:t>7</w:t>
              </w:r>
            </w:hyperlink>
          </w:p>
        </w:tc>
      </w:tr>
      <w:tr>
        <w:trPr>
          <w:trHeight w:val="310"/>
        </w:trPr>
        <w:tc>
          <w:tcPr>
            <w:tcW w:w="7940" w:type="dxa"/>
            <w:vAlign w:val="bottom"/>
            <w:gridSpan w:val="2"/>
          </w:tcPr>
          <w:p>
            <w:pPr>
              <w:spacing w:after="0"/>
              <w:rPr>
                <w:rFonts w:ascii="Arial" w:cs="Arial" w:eastAsia="Arial" w:hAnsi="Arial"/>
                <w:sz w:val="22"/>
                <w:szCs w:val="22"/>
                <w:u w:val="single" w:color="auto"/>
                <w:color w:val="0000FF"/>
              </w:rPr>
            </w:pPr>
            <w:hyperlink w:anchor="page78">
              <w:r>
                <w:rPr>
                  <w:rFonts w:ascii="Arial" w:cs="Arial" w:eastAsia="Arial" w:hAnsi="Arial"/>
                  <w:sz w:val="22"/>
                  <w:szCs w:val="22"/>
                  <w:u w:val="single" w:color="auto"/>
                  <w:color w:val="0000FF"/>
                </w:rPr>
                <w:t>3.02 Annual Deferred Stock Unit Award</w:t>
              </w:r>
            </w:hyperlink>
          </w:p>
        </w:tc>
        <w:tc>
          <w:tcPr>
            <w:tcW w:w="2580" w:type="dxa"/>
            <w:vAlign w:val="bottom"/>
          </w:tcPr>
          <w:p>
            <w:pPr>
              <w:ind w:left="2360"/>
              <w:spacing w:after="0"/>
              <w:rPr>
                <w:rFonts w:ascii="Arial" w:cs="Arial" w:eastAsia="Arial" w:hAnsi="Arial"/>
                <w:sz w:val="22"/>
                <w:szCs w:val="22"/>
                <w:u w:val="single" w:color="auto"/>
                <w:color w:val="auto"/>
              </w:rPr>
            </w:pPr>
            <w:hyperlink w:anchor="page78">
              <w:r>
                <w:rPr>
                  <w:rFonts w:ascii="Arial" w:cs="Arial" w:eastAsia="Arial" w:hAnsi="Arial"/>
                  <w:sz w:val="22"/>
                  <w:szCs w:val="22"/>
                  <w:u w:val="single" w:color="auto"/>
                  <w:color w:val="auto"/>
                </w:rPr>
                <w:t>7</w:t>
              </w:r>
            </w:hyperlink>
          </w:p>
        </w:tc>
      </w:tr>
      <w:tr>
        <w:trPr>
          <w:trHeight w:val="311"/>
        </w:trPr>
        <w:tc>
          <w:tcPr>
            <w:tcW w:w="400" w:type="dxa"/>
            <w:vAlign w:val="bottom"/>
          </w:tcPr>
          <w:p>
            <w:pPr>
              <w:spacing w:after="0"/>
              <w:rPr>
                <w:rFonts w:ascii="Arial" w:cs="Arial" w:eastAsia="Arial" w:hAnsi="Arial"/>
                <w:sz w:val="22"/>
                <w:szCs w:val="22"/>
                <w:u w:val="single" w:color="auto"/>
                <w:color w:val="0000FF"/>
                <w:w w:val="88"/>
              </w:rPr>
            </w:pPr>
            <w:hyperlink w:anchor="page78">
              <w:r>
                <w:rPr>
                  <w:rFonts w:ascii="Arial" w:cs="Arial" w:eastAsia="Arial" w:hAnsi="Arial"/>
                  <w:sz w:val="22"/>
                  <w:szCs w:val="22"/>
                  <w:u w:val="single" w:color="auto"/>
                  <w:color w:val="0000FF"/>
                  <w:w w:val="88"/>
                </w:rPr>
                <w:t>3.03</w:t>
              </w:r>
            </w:hyperlink>
          </w:p>
        </w:tc>
        <w:tc>
          <w:tcPr>
            <w:tcW w:w="7540" w:type="dxa"/>
            <w:vAlign w:val="bottom"/>
          </w:tcPr>
          <w:p>
            <w:pPr>
              <w:ind w:left="40"/>
              <w:spacing w:after="0"/>
              <w:rPr>
                <w:rFonts w:ascii="Arial" w:cs="Arial" w:eastAsia="Arial" w:hAnsi="Arial"/>
                <w:sz w:val="22"/>
                <w:szCs w:val="22"/>
                <w:u w:val="single" w:color="auto"/>
                <w:color w:val="0000FF"/>
              </w:rPr>
            </w:pPr>
            <w:hyperlink w:anchor="page78">
              <w:r>
                <w:rPr>
                  <w:rFonts w:ascii="Arial" w:cs="Arial" w:eastAsia="Arial" w:hAnsi="Arial"/>
                  <w:sz w:val="22"/>
                  <w:szCs w:val="22"/>
                  <w:u w:val="single" w:color="auto"/>
                  <w:color w:val="0000FF"/>
                </w:rPr>
                <w:t>New Director Restricted Stock Unit Award</w:t>
              </w:r>
            </w:hyperlink>
          </w:p>
        </w:tc>
        <w:tc>
          <w:tcPr>
            <w:tcW w:w="2580" w:type="dxa"/>
            <w:vAlign w:val="bottom"/>
          </w:tcPr>
          <w:p>
            <w:pPr>
              <w:ind w:left="2360"/>
              <w:spacing w:after="0"/>
              <w:rPr>
                <w:rFonts w:ascii="Arial" w:cs="Arial" w:eastAsia="Arial" w:hAnsi="Arial"/>
                <w:sz w:val="22"/>
                <w:szCs w:val="22"/>
                <w:u w:val="single" w:color="auto"/>
                <w:color w:val="auto"/>
              </w:rPr>
            </w:pPr>
            <w:hyperlink w:anchor="page78">
              <w:r>
                <w:rPr>
                  <w:rFonts w:ascii="Arial" w:cs="Arial" w:eastAsia="Arial" w:hAnsi="Arial"/>
                  <w:sz w:val="22"/>
                  <w:szCs w:val="22"/>
                  <w:u w:val="single" w:color="auto"/>
                  <w:color w:val="auto"/>
                </w:rPr>
                <w:t>8</w:t>
              </w:r>
            </w:hyperlink>
          </w:p>
        </w:tc>
      </w:tr>
      <w:tr>
        <w:trPr>
          <w:trHeight w:val="310"/>
        </w:trPr>
        <w:tc>
          <w:tcPr>
            <w:tcW w:w="400" w:type="dxa"/>
            <w:vAlign w:val="bottom"/>
          </w:tcPr>
          <w:p>
            <w:pPr>
              <w:spacing w:after="0"/>
              <w:rPr>
                <w:rFonts w:ascii="Arial" w:cs="Arial" w:eastAsia="Arial" w:hAnsi="Arial"/>
                <w:sz w:val="22"/>
                <w:szCs w:val="22"/>
                <w:u w:val="single" w:color="auto"/>
                <w:color w:val="0000FF"/>
                <w:w w:val="88"/>
              </w:rPr>
            </w:pPr>
            <w:hyperlink w:anchor="page78">
              <w:r>
                <w:rPr>
                  <w:rFonts w:ascii="Arial" w:cs="Arial" w:eastAsia="Arial" w:hAnsi="Arial"/>
                  <w:sz w:val="22"/>
                  <w:szCs w:val="22"/>
                  <w:u w:val="single" w:color="auto"/>
                  <w:color w:val="0000FF"/>
                  <w:w w:val="88"/>
                </w:rPr>
                <w:t>3.04</w:t>
              </w:r>
            </w:hyperlink>
          </w:p>
        </w:tc>
        <w:tc>
          <w:tcPr>
            <w:tcW w:w="7540" w:type="dxa"/>
            <w:vAlign w:val="bottom"/>
          </w:tcPr>
          <w:p>
            <w:pPr>
              <w:ind w:left="40"/>
              <w:spacing w:after="0"/>
              <w:rPr>
                <w:rFonts w:ascii="Arial" w:cs="Arial" w:eastAsia="Arial" w:hAnsi="Arial"/>
                <w:sz w:val="22"/>
                <w:szCs w:val="22"/>
                <w:u w:val="single" w:color="auto"/>
                <w:color w:val="0000FF"/>
              </w:rPr>
            </w:pPr>
            <w:hyperlink w:anchor="page78">
              <w:r>
                <w:rPr>
                  <w:rFonts w:ascii="Arial" w:cs="Arial" w:eastAsia="Arial" w:hAnsi="Arial"/>
                  <w:sz w:val="22"/>
                  <w:szCs w:val="22"/>
                  <w:u w:val="single" w:color="auto"/>
                  <w:color w:val="0000FF"/>
                </w:rPr>
                <w:t>Duplication of Benefits</w:t>
              </w:r>
            </w:hyperlink>
          </w:p>
        </w:tc>
        <w:tc>
          <w:tcPr>
            <w:tcW w:w="2580" w:type="dxa"/>
            <w:vAlign w:val="bottom"/>
          </w:tcPr>
          <w:p>
            <w:pPr>
              <w:ind w:left="2360"/>
              <w:spacing w:after="0"/>
              <w:rPr>
                <w:rFonts w:ascii="Arial" w:cs="Arial" w:eastAsia="Arial" w:hAnsi="Arial"/>
                <w:sz w:val="22"/>
                <w:szCs w:val="22"/>
                <w:u w:val="single" w:color="auto"/>
                <w:color w:val="auto"/>
              </w:rPr>
            </w:pPr>
            <w:hyperlink w:anchor="page78">
              <w:r>
                <w:rPr>
                  <w:rFonts w:ascii="Arial" w:cs="Arial" w:eastAsia="Arial" w:hAnsi="Arial"/>
                  <w:sz w:val="22"/>
                  <w:szCs w:val="22"/>
                  <w:u w:val="single" w:color="auto"/>
                  <w:color w:val="auto"/>
                </w:rPr>
                <w:t>8</w:t>
              </w:r>
            </w:hyperlink>
          </w:p>
        </w:tc>
      </w:tr>
      <w:tr>
        <w:trPr>
          <w:trHeight w:val="311"/>
        </w:trPr>
        <w:tc>
          <w:tcPr>
            <w:tcW w:w="7940" w:type="dxa"/>
            <w:vAlign w:val="bottom"/>
            <w:gridSpan w:val="2"/>
          </w:tcPr>
          <w:p>
            <w:pPr>
              <w:spacing w:after="0"/>
              <w:rPr>
                <w:rFonts w:ascii="Arial" w:cs="Arial" w:eastAsia="Arial" w:hAnsi="Arial"/>
                <w:sz w:val="22"/>
                <w:szCs w:val="22"/>
                <w:u w:val="single" w:color="auto"/>
                <w:color w:val="0000FF"/>
              </w:rPr>
            </w:pPr>
            <w:hyperlink w:anchor="page78">
              <w:r>
                <w:rPr>
                  <w:rFonts w:ascii="Arial" w:cs="Arial" w:eastAsia="Arial" w:hAnsi="Arial"/>
                  <w:sz w:val="22"/>
                  <w:szCs w:val="22"/>
                  <w:u w:val="single" w:color="auto"/>
                  <w:color w:val="0000FF"/>
                </w:rPr>
                <w:t>Article IV ACCOUNTS AND CREDITS</w:t>
              </w:r>
            </w:hyperlink>
          </w:p>
        </w:tc>
        <w:tc>
          <w:tcPr>
            <w:tcW w:w="2580" w:type="dxa"/>
            <w:vAlign w:val="bottom"/>
          </w:tcPr>
          <w:p>
            <w:pPr>
              <w:ind w:left="2360"/>
              <w:spacing w:after="0"/>
              <w:rPr>
                <w:rFonts w:ascii="Arial" w:cs="Arial" w:eastAsia="Arial" w:hAnsi="Arial"/>
                <w:sz w:val="22"/>
                <w:szCs w:val="22"/>
                <w:u w:val="single" w:color="auto"/>
                <w:color w:val="auto"/>
              </w:rPr>
            </w:pPr>
            <w:hyperlink w:anchor="page78">
              <w:r>
                <w:rPr>
                  <w:rFonts w:ascii="Arial" w:cs="Arial" w:eastAsia="Arial" w:hAnsi="Arial"/>
                  <w:sz w:val="22"/>
                  <w:szCs w:val="22"/>
                  <w:u w:val="single" w:color="auto"/>
                  <w:color w:val="auto"/>
                </w:rPr>
                <w:t>9</w:t>
              </w:r>
            </w:hyperlink>
          </w:p>
        </w:tc>
      </w:tr>
      <w:tr>
        <w:trPr>
          <w:trHeight w:val="310"/>
        </w:trPr>
        <w:tc>
          <w:tcPr>
            <w:tcW w:w="7940" w:type="dxa"/>
            <w:vAlign w:val="bottom"/>
            <w:gridSpan w:val="2"/>
          </w:tcPr>
          <w:p>
            <w:pPr>
              <w:spacing w:after="0"/>
              <w:rPr>
                <w:rFonts w:ascii="Arial" w:cs="Arial" w:eastAsia="Arial" w:hAnsi="Arial"/>
                <w:sz w:val="22"/>
                <w:szCs w:val="22"/>
                <w:u w:val="single" w:color="auto"/>
                <w:color w:val="0000FF"/>
              </w:rPr>
            </w:pPr>
            <w:hyperlink w:anchor="page78">
              <w:r>
                <w:rPr>
                  <w:rFonts w:ascii="Arial" w:cs="Arial" w:eastAsia="Arial" w:hAnsi="Arial"/>
                  <w:sz w:val="22"/>
                  <w:szCs w:val="22"/>
                  <w:u w:val="single" w:color="auto"/>
                  <w:color w:val="0000FF"/>
                </w:rPr>
                <w:t>4.01 Annual Deferred Stock Unit Award</w:t>
              </w:r>
            </w:hyperlink>
          </w:p>
        </w:tc>
        <w:tc>
          <w:tcPr>
            <w:tcW w:w="2580" w:type="dxa"/>
            <w:vAlign w:val="bottom"/>
          </w:tcPr>
          <w:p>
            <w:pPr>
              <w:ind w:left="2360"/>
              <w:spacing w:after="0"/>
              <w:rPr>
                <w:rFonts w:ascii="Arial" w:cs="Arial" w:eastAsia="Arial" w:hAnsi="Arial"/>
                <w:sz w:val="22"/>
                <w:szCs w:val="22"/>
                <w:u w:val="single" w:color="auto"/>
                <w:color w:val="auto"/>
              </w:rPr>
            </w:pPr>
            <w:hyperlink w:anchor="page78">
              <w:r>
                <w:rPr>
                  <w:rFonts w:ascii="Arial" w:cs="Arial" w:eastAsia="Arial" w:hAnsi="Arial"/>
                  <w:sz w:val="22"/>
                  <w:szCs w:val="22"/>
                  <w:u w:val="single" w:color="auto"/>
                  <w:color w:val="auto"/>
                </w:rPr>
                <w:t>9</w:t>
              </w:r>
            </w:hyperlink>
          </w:p>
        </w:tc>
      </w:tr>
      <w:tr>
        <w:trPr>
          <w:trHeight w:val="311"/>
        </w:trPr>
        <w:tc>
          <w:tcPr>
            <w:tcW w:w="400" w:type="dxa"/>
            <w:vAlign w:val="bottom"/>
          </w:tcPr>
          <w:p>
            <w:pPr>
              <w:spacing w:after="0"/>
              <w:rPr>
                <w:rFonts w:ascii="Arial" w:cs="Arial" w:eastAsia="Arial" w:hAnsi="Arial"/>
                <w:sz w:val="22"/>
                <w:szCs w:val="22"/>
                <w:u w:val="single" w:color="auto"/>
                <w:color w:val="0000FF"/>
                <w:w w:val="88"/>
              </w:rPr>
            </w:pPr>
            <w:hyperlink w:anchor="page78">
              <w:r>
                <w:rPr>
                  <w:rFonts w:ascii="Arial" w:cs="Arial" w:eastAsia="Arial" w:hAnsi="Arial"/>
                  <w:sz w:val="22"/>
                  <w:szCs w:val="22"/>
                  <w:u w:val="single" w:color="auto"/>
                  <w:color w:val="0000FF"/>
                  <w:w w:val="88"/>
                </w:rPr>
                <w:t>4.02</w:t>
              </w:r>
            </w:hyperlink>
          </w:p>
        </w:tc>
        <w:tc>
          <w:tcPr>
            <w:tcW w:w="7540" w:type="dxa"/>
            <w:vAlign w:val="bottom"/>
          </w:tcPr>
          <w:p>
            <w:pPr>
              <w:ind w:left="40"/>
              <w:spacing w:after="0"/>
              <w:rPr>
                <w:rFonts w:ascii="Arial" w:cs="Arial" w:eastAsia="Arial" w:hAnsi="Arial"/>
                <w:sz w:val="22"/>
                <w:szCs w:val="22"/>
                <w:u w:val="single" w:color="auto"/>
                <w:color w:val="0000FF"/>
              </w:rPr>
            </w:pPr>
            <w:hyperlink w:anchor="page78">
              <w:r>
                <w:rPr>
                  <w:rFonts w:ascii="Arial" w:cs="Arial" w:eastAsia="Arial" w:hAnsi="Arial"/>
                  <w:sz w:val="22"/>
                  <w:szCs w:val="22"/>
                  <w:u w:val="single" w:color="auto"/>
                  <w:color w:val="0000FF"/>
                </w:rPr>
                <w:t>Elective Annual Retainer</w:t>
              </w:r>
            </w:hyperlink>
          </w:p>
        </w:tc>
        <w:tc>
          <w:tcPr>
            <w:tcW w:w="2580" w:type="dxa"/>
            <w:vAlign w:val="bottom"/>
          </w:tcPr>
          <w:p>
            <w:pPr>
              <w:ind w:left="2360"/>
              <w:spacing w:after="0"/>
              <w:rPr>
                <w:rFonts w:ascii="Arial" w:cs="Arial" w:eastAsia="Arial" w:hAnsi="Arial"/>
                <w:sz w:val="22"/>
                <w:szCs w:val="22"/>
                <w:u w:val="single" w:color="auto"/>
                <w:color w:val="auto"/>
              </w:rPr>
            </w:pPr>
            <w:hyperlink w:anchor="page78">
              <w:r>
                <w:rPr>
                  <w:rFonts w:ascii="Arial" w:cs="Arial" w:eastAsia="Arial" w:hAnsi="Arial"/>
                  <w:sz w:val="22"/>
                  <w:szCs w:val="22"/>
                  <w:u w:val="single" w:color="auto"/>
                  <w:color w:val="auto"/>
                </w:rPr>
                <w:t>9</w:t>
              </w:r>
            </w:hyperlink>
          </w:p>
        </w:tc>
      </w:tr>
      <w:tr>
        <w:trPr>
          <w:trHeight w:val="311"/>
        </w:trPr>
        <w:tc>
          <w:tcPr>
            <w:tcW w:w="400" w:type="dxa"/>
            <w:vAlign w:val="bottom"/>
          </w:tcPr>
          <w:p>
            <w:pPr>
              <w:spacing w:after="0"/>
              <w:rPr>
                <w:rFonts w:ascii="Arial" w:cs="Arial" w:eastAsia="Arial" w:hAnsi="Arial"/>
                <w:sz w:val="22"/>
                <w:szCs w:val="22"/>
                <w:u w:val="single" w:color="auto"/>
                <w:color w:val="0000FF"/>
                <w:w w:val="88"/>
              </w:rPr>
            </w:pPr>
            <w:hyperlink w:anchor="page78">
              <w:r>
                <w:rPr>
                  <w:rFonts w:ascii="Arial" w:cs="Arial" w:eastAsia="Arial" w:hAnsi="Arial"/>
                  <w:sz w:val="22"/>
                  <w:szCs w:val="22"/>
                  <w:u w:val="single" w:color="auto"/>
                  <w:color w:val="0000FF"/>
                  <w:w w:val="88"/>
                </w:rPr>
                <w:t>4.03</w:t>
              </w:r>
            </w:hyperlink>
          </w:p>
        </w:tc>
        <w:tc>
          <w:tcPr>
            <w:tcW w:w="7540" w:type="dxa"/>
            <w:vAlign w:val="bottom"/>
          </w:tcPr>
          <w:p>
            <w:pPr>
              <w:ind w:left="40"/>
              <w:spacing w:after="0"/>
              <w:rPr>
                <w:rFonts w:ascii="Arial" w:cs="Arial" w:eastAsia="Arial" w:hAnsi="Arial"/>
                <w:sz w:val="22"/>
                <w:szCs w:val="22"/>
                <w:u w:val="single" w:color="auto"/>
                <w:color w:val="0000FF"/>
              </w:rPr>
            </w:pPr>
            <w:hyperlink w:anchor="page78">
              <w:r>
                <w:rPr>
                  <w:rFonts w:ascii="Arial" w:cs="Arial" w:eastAsia="Arial" w:hAnsi="Arial"/>
                  <w:sz w:val="22"/>
                  <w:szCs w:val="22"/>
                  <w:u w:val="single" w:color="auto"/>
                  <w:color w:val="0000FF"/>
                </w:rPr>
                <w:t>New Director Restricted Stock Unit Award</w:t>
              </w:r>
            </w:hyperlink>
          </w:p>
        </w:tc>
        <w:tc>
          <w:tcPr>
            <w:tcW w:w="2580" w:type="dxa"/>
            <w:vAlign w:val="bottom"/>
          </w:tcPr>
          <w:p>
            <w:pPr>
              <w:ind w:left="2360"/>
              <w:spacing w:after="0"/>
              <w:rPr>
                <w:rFonts w:ascii="Arial" w:cs="Arial" w:eastAsia="Arial" w:hAnsi="Arial"/>
                <w:sz w:val="22"/>
                <w:szCs w:val="22"/>
                <w:u w:val="single" w:color="auto"/>
                <w:color w:val="auto"/>
              </w:rPr>
            </w:pPr>
            <w:hyperlink w:anchor="page78">
              <w:r>
                <w:rPr>
                  <w:rFonts w:ascii="Arial" w:cs="Arial" w:eastAsia="Arial" w:hAnsi="Arial"/>
                  <w:sz w:val="22"/>
                  <w:szCs w:val="22"/>
                  <w:u w:val="single" w:color="auto"/>
                  <w:color w:val="auto"/>
                </w:rPr>
                <w:t>9</w:t>
              </w:r>
            </w:hyperlink>
          </w:p>
        </w:tc>
      </w:tr>
      <w:tr>
        <w:trPr>
          <w:trHeight w:val="310"/>
        </w:trPr>
        <w:tc>
          <w:tcPr>
            <w:tcW w:w="7940" w:type="dxa"/>
            <w:vAlign w:val="bottom"/>
            <w:gridSpan w:val="2"/>
          </w:tcPr>
          <w:p>
            <w:pPr>
              <w:spacing w:after="0"/>
              <w:rPr>
                <w:rFonts w:ascii="Arial" w:cs="Arial" w:eastAsia="Arial" w:hAnsi="Arial"/>
                <w:sz w:val="22"/>
                <w:szCs w:val="22"/>
                <w:u w:val="single" w:color="auto"/>
                <w:color w:val="0000FF"/>
              </w:rPr>
            </w:pPr>
            <w:hyperlink w:anchor="page78">
              <w:r>
                <w:rPr>
                  <w:rFonts w:ascii="Arial" w:cs="Arial" w:eastAsia="Arial" w:hAnsi="Arial"/>
                  <w:sz w:val="22"/>
                  <w:szCs w:val="22"/>
                  <w:u w:val="single" w:color="auto"/>
                  <w:color w:val="0000FF"/>
                </w:rPr>
                <w:t>4.04 Accounts</w:t>
              </w:r>
            </w:hyperlink>
          </w:p>
        </w:tc>
        <w:tc>
          <w:tcPr>
            <w:tcW w:w="2580" w:type="dxa"/>
            <w:vAlign w:val="bottom"/>
          </w:tcPr>
          <w:p>
            <w:pPr>
              <w:ind w:left="2360"/>
              <w:spacing w:after="0"/>
              <w:rPr>
                <w:rFonts w:ascii="Arial" w:cs="Arial" w:eastAsia="Arial" w:hAnsi="Arial"/>
                <w:sz w:val="22"/>
                <w:szCs w:val="22"/>
                <w:u w:val="single" w:color="auto"/>
                <w:color w:val="auto"/>
                <w:w w:val="81"/>
              </w:rPr>
            </w:pPr>
            <w:hyperlink w:anchor="page78">
              <w:r>
                <w:rPr>
                  <w:rFonts w:ascii="Arial" w:cs="Arial" w:eastAsia="Arial" w:hAnsi="Arial"/>
                  <w:sz w:val="22"/>
                  <w:szCs w:val="22"/>
                  <w:u w:val="single" w:color="auto"/>
                  <w:color w:val="auto"/>
                  <w:w w:val="81"/>
                </w:rPr>
                <w:t>10</w:t>
              </w:r>
            </w:hyperlink>
          </w:p>
        </w:tc>
      </w:tr>
      <w:tr>
        <w:trPr>
          <w:trHeight w:val="311"/>
        </w:trPr>
        <w:tc>
          <w:tcPr>
            <w:tcW w:w="400" w:type="dxa"/>
            <w:vAlign w:val="bottom"/>
          </w:tcPr>
          <w:p>
            <w:pPr>
              <w:spacing w:after="0"/>
              <w:rPr>
                <w:rFonts w:ascii="Arial" w:cs="Arial" w:eastAsia="Arial" w:hAnsi="Arial"/>
                <w:sz w:val="22"/>
                <w:szCs w:val="22"/>
                <w:u w:val="single" w:color="auto"/>
                <w:color w:val="0000FF"/>
                <w:w w:val="88"/>
              </w:rPr>
            </w:pPr>
            <w:hyperlink w:anchor="page78">
              <w:r>
                <w:rPr>
                  <w:rFonts w:ascii="Arial" w:cs="Arial" w:eastAsia="Arial" w:hAnsi="Arial"/>
                  <w:sz w:val="22"/>
                  <w:szCs w:val="22"/>
                  <w:u w:val="single" w:color="auto"/>
                  <w:color w:val="0000FF"/>
                  <w:w w:val="88"/>
                </w:rPr>
                <w:t>4.05</w:t>
              </w:r>
            </w:hyperlink>
          </w:p>
        </w:tc>
        <w:tc>
          <w:tcPr>
            <w:tcW w:w="7540" w:type="dxa"/>
            <w:vAlign w:val="bottom"/>
          </w:tcPr>
          <w:p>
            <w:pPr>
              <w:ind w:left="40"/>
              <w:spacing w:after="0"/>
              <w:rPr>
                <w:rFonts w:ascii="Arial" w:cs="Arial" w:eastAsia="Arial" w:hAnsi="Arial"/>
                <w:sz w:val="22"/>
                <w:szCs w:val="22"/>
                <w:u w:val="single" w:color="auto"/>
                <w:color w:val="0000FF"/>
              </w:rPr>
            </w:pPr>
            <w:hyperlink w:anchor="page78">
              <w:r>
                <w:rPr>
                  <w:rFonts w:ascii="Arial" w:cs="Arial" w:eastAsia="Arial" w:hAnsi="Arial"/>
                  <w:sz w:val="22"/>
                  <w:szCs w:val="22"/>
                  <w:u w:val="single" w:color="auto"/>
                  <w:color w:val="0000FF"/>
                </w:rPr>
                <w:t>Deferred Stock Unit Accounts</w:t>
              </w:r>
            </w:hyperlink>
          </w:p>
        </w:tc>
        <w:tc>
          <w:tcPr>
            <w:tcW w:w="2580" w:type="dxa"/>
            <w:vAlign w:val="bottom"/>
          </w:tcPr>
          <w:p>
            <w:pPr>
              <w:ind w:left="2360"/>
              <w:spacing w:after="0"/>
              <w:rPr>
                <w:rFonts w:ascii="Arial" w:cs="Arial" w:eastAsia="Arial" w:hAnsi="Arial"/>
                <w:sz w:val="22"/>
                <w:szCs w:val="22"/>
                <w:u w:val="single" w:color="auto"/>
                <w:color w:val="auto"/>
                <w:w w:val="81"/>
              </w:rPr>
            </w:pPr>
            <w:hyperlink w:anchor="page78">
              <w:r>
                <w:rPr>
                  <w:rFonts w:ascii="Arial" w:cs="Arial" w:eastAsia="Arial" w:hAnsi="Arial"/>
                  <w:sz w:val="22"/>
                  <w:szCs w:val="22"/>
                  <w:u w:val="single" w:color="auto"/>
                  <w:color w:val="auto"/>
                  <w:w w:val="81"/>
                </w:rPr>
                <w:t>11</w:t>
              </w:r>
            </w:hyperlink>
          </w:p>
        </w:tc>
      </w:tr>
      <w:tr>
        <w:trPr>
          <w:trHeight w:val="310"/>
        </w:trPr>
        <w:tc>
          <w:tcPr>
            <w:tcW w:w="400" w:type="dxa"/>
            <w:vAlign w:val="bottom"/>
          </w:tcPr>
          <w:p>
            <w:pPr>
              <w:spacing w:after="0"/>
              <w:rPr>
                <w:rFonts w:ascii="Arial" w:cs="Arial" w:eastAsia="Arial" w:hAnsi="Arial"/>
                <w:sz w:val="22"/>
                <w:szCs w:val="22"/>
                <w:u w:val="single" w:color="auto"/>
                <w:color w:val="0000FF"/>
                <w:w w:val="88"/>
              </w:rPr>
            </w:pPr>
            <w:hyperlink w:anchor="page78">
              <w:r>
                <w:rPr>
                  <w:rFonts w:ascii="Arial" w:cs="Arial" w:eastAsia="Arial" w:hAnsi="Arial"/>
                  <w:sz w:val="22"/>
                  <w:szCs w:val="22"/>
                  <w:u w:val="single" w:color="auto"/>
                  <w:color w:val="0000FF"/>
                  <w:w w:val="88"/>
                </w:rPr>
                <w:t>4.06</w:t>
              </w:r>
            </w:hyperlink>
          </w:p>
        </w:tc>
        <w:tc>
          <w:tcPr>
            <w:tcW w:w="7540" w:type="dxa"/>
            <w:vAlign w:val="bottom"/>
          </w:tcPr>
          <w:p>
            <w:pPr>
              <w:ind w:left="40"/>
              <w:spacing w:after="0"/>
              <w:rPr>
                <w:rFonts w:ascii="Arial" w:cs="Arial" w:eastAsia="Arial" w:hAnsi="Arial"/>
                <w:sz w:val="22"/>
                <w:szCs w:val="22"/>
                <w:u w:val="single" w:color="auto"/>
                <w:color w:val="0000FF"/>
              </w:rPr>
            </w:pPr>
            <w:hyperlink w:anchor="page78">
              <w:r>
                <w:rPr>
                  <w:rFonts w:ascii="Arial" w:cs="Arial" w:eastAsia="Arial" w:hAnsi="Arial"/>
                  <w:sz w:val="22"/>
                  <w:szCs w:val="22"/>
                  <w:u w:val="single" w:color="auto"/>
                  <w:color w:val="0000FF"/>
                </w:rPr>
                <w:t>Hypothetical Nature of Accounts and Investments</w:t>
              </w:r>
            </w:hyperlink>
          </w:p>
        </w:tc>
        <w:tc>
          <w:tcPr>
            <w:tcW w:w="2580" w:type="dxa"/>
            <w:vAlign w:val="bottom"/>
          </w:tcPr>
          <w:p>
            <w:pPr>
              <w:ind w:left="2360"/>
              <w:spacing w:after="0"/>
              <w:rPr>
                <w:rFonts w:ascii="Arial" w:cs="Arial" w:eastAsia="Arial" w:hAnsi="Arial"/>
                <w:sz w:val="22"/>
                <w:szCs w:val="22"/>
                <w:u w:val="single" w:color="auto"/>
                <w:color w:val="auto"/>
                <w:w w:val="81"/>
              </w:rPr>
            </w:pPr>
            <w:hyperlink w:anchor="page78">
              <w:r>
                <w:rPr>
                  <w:rFonts w:ascii="Arial" w:cs="Arial" w:eastAsia="Arial" w:hAnsi="Arial"/>
                  <w:sz w:val="22"/>
                  <w:szCs w:val="22"/>
                  <w:u w:val="single" w:color="auto"/>
                  <w:color w:val="auto"/>
                  <w:w w:val="81"/>
                </w:rPr>
                <w:t>12</w:t>
              </w:r>
            </w:hyperlink>
          </w:p>
        </w:tc>
      </w:tr>
      <w:tr>
        <w:trPr>
          <w:trHeight w:val="310"/>
        </w:trPr>
        <w:tc>
          <w:tcPr>
            <w:tcW w:w="7940" w:type="dxa"/>
            <w:vAlign w:val="bottom"/>
            <w:gridSpan w:val="2"/>
          </w:tcPr>
          <w:p>
            <w:pPr>
              <w:spacing w:after="0"/>
              <w:rPr>
                <w:rFonts w:ascii="Arial" w:cs="Arial" w:eastAsia="Arial" w:hAnsi="Arial"/>
                <w:sz w:val="22"/>
                <w:szCs w:val="22"/>
                <w:u w:val="single" w:color="auto"/>
                <w:color w:val="0000FF"/>
              </w:rPr>
            </w:pPr>
            <w:hyperlink w:anchor="page78">
              <w:r>
                <w:rPr>
                  <w:rFonts w:ascii="Arial" w:cs="Arial" w:eastAsia="Arial" w:hAnsi="Arial"/>
                  <w:sz w:val="22"/>
                  <w:szCs w:val="22"/>
                  <w:u w:val="single" w:color="auto"/>
                  <w:color w:val="0000FF"/>
                </w:rPr>
                <w:t>Article V ELECTION PROCEDURES AND DISTRIBUTIONS</w:t>
              </w:r>
            </w:hyperlink>
          </w:p>
        </w:tc>
        <w:tc>
          <w:tcPr>
            <w:tcW w:w="2580" w:type="dxa"/>
            <w:vAlign w:val="bottom"/>
          </w:tcPr>
          <w:p>
            <w:pPr>
              <w:ind w:left="2360"/>
              <w:spacing w:after="0"/>
              <w:rPr>
                <w:rFonts w:ascii="Arial" w:cs="Arial" w:eastAsia="Arial" w:hAnsi="Arial"/>
                <w:sz w:val="22"/>
                <w:szCs w:val="22"/>
                <w:u w:val="single" w:color="auto"/>
                <w:color w:val="auto"/>
                <w:w w:val="81"/>
              </w:rPr>
            </w:pPr>
            <w:hyperlink w:anchor="page78">
              <w:r>
                <w:rPr>
                  <w:rFonts w:ascii="Arial" w:cs="Arial" w:eastAsia="Arial" w:hAnsi="Arial"/>
                  <w:sz w:val="22"/>
                  <w:szCs w:val="22"/>
                  <w:u w:val="single" w:color="auto"/>
                  <w:color w:val="auto"/>
                  <w:w w:val="81"/>
                </w:rPr>
                <w:t>12</w:t>
              </w:r>
            </w:hyperlink>
          </w:p>
        </w:tc>
      </w:tr>
      <w:tr>
        <w:trPr>
          <w:trHeight w:val="310"/>
        </w:trPr>
        <w:tc>
          <w:tcPr>
            <w:tcW w:w="400" w:type="dxa"/>
            <w:vAlign w:val="bottom"/>
          </w:tcPr>
          <w:p>
            <w:pPr>
              <w:spacing w:after="0"/>
              <w:rPr>
                <w:rFonts w:ascii="Arial" w:cs="Arial" w:eastAsia="Arial" w:hAnsi="Arial"/>
                <w:sz w:val="22"/>
                <w:szCs w:val="22"/>
                <w:u w:val="single" w:color="auto"/>
                <w:color w:val="0000FF"/>
                <w:w w:val="88"/>
              </w:rPr>
            </w:pPr>
            <w:hyperlink w:anchor="page78">
              <w:r>
                <w:rPr>
                  <w:rFonts w:ascii="Arial" w:cs="Arial" w:eastAsia="Arial" w:hAnsi="Arial"/>
                  <w:sz w:val="22"/>
                  <w:szCs w:val="22"/>
                  <w:u w:val="single" w:color="auto"/>
                  <w:color w:val="0000FF"/>
                  <w:w w:val="88"/>
                </w:rPr>
                <w:t>5.01</w:t>
              </w:r>
            </w:hyperlink>
          </w:p>
        </w:tc>
        <w:tc>
          <w:tcPr>
            <w:tcW w:w="7540" w:type="dxa"/>
            <w:vAlign w:val="bottom"/>
          </w:tcPr>
          <w:p>
            <w:pPr>
              <w:ind w:left="40"/>
              <w:spacing w:after="0"/>
              <w:rPr>
                <w:rFonts w:ascii="Arial" w:cs="Arial" w:eastAsia="Arial" w:hAnsi="Arial"/>
                <w:sz w:val="22"/>
                <w:szCs w:val="22"/>
                <w:u w:val="single" w:color="auto"/>
                <w:color w:val="0000FF"/>
              </w:rPr>
            </w:pPr>
            <w:hyperlink w:anchor="page78">
              <w:r>
                <w:rPr>
                  <w:rFonts w:ascii="Arial" w:cs="Arial" w:eastAsia="Arial" w:hAnsi="Arial"/>
                  <w:sz w:val="22"/>
                  <w:szCs w:val="22"/>
                  <w:u w:val="single" w:color="auto"/>
                  <w:color w:val="0000FF"/>
                </w:rPr>
                <w:t>Annual Retainer Deferral Election</w:t>
              </w:r>
            </w:hyperlink>
          </w:p>
        </w:tc>
        <w:tc>
          <w:tcPr>
            <w:tcW w:w="2580" w:type="dxa"/>
            <w:vAlign w:val="bottom"/>
          </w:tcPr>
          <w:p>
            <w:pPr>
              <w:ind w:left="2360"/>
              <w:spacing w:after="0"/>
              <w:rPr>
                <w:rFonts w:ascii="Arial" w:cs="Arial" w:eastAsia="Arial" w:hAnsi="Arial"/>
                <w:sz w:val="22"/>
                <w:szCs w:val="22"/>
                <w:u w:val="single" w:color="auto"/>
                <w:color w:val="auto"/>
                <w:w w:val="81"/>
              </w:rPr>
            </w:pPr>
            <w:hyperlink w:anchor="page78">
              <w:r>
                <w:rPr>
                  <w:rFonts w:ascii="Arial" w:cs="Arial" w:eastAsia="Arial" w:hAnsi="Arial"/>
                  <w:sz w:val="22"/>
                  <w:szCs w:val="22"/>
                  <w:u w:val="single" w:color="auto"/>
                  <w:color w:val="auto"/>
                  <w:w w:val="81"/>
                </w:rPr>
                <w:t>12</w:t>
              </w:r>
            </w:hyperlink>
          </w:p>
        </w:tc>
      </w:tr>
      <w:tr>
        <w:trPr>
          <w:trHeight w:val="310"/>
        </w:trPr>
        <w:tc>
          <w:tcPr>
            <w:tcW w:w="400" w:type="dxa"/>
            <w:vAlign w:val="bottom"/>
          </w:tcPr>
          <w:p>
            <w:pPr>
              <w:spacing w:after="0"/>
              <w:rPr>
                <w:rFonts w:ascii="Arial" w:cs="Arial" w:eastAsia="Arial" w:hAnsi="Arial"/>
                <w:sz w:val="22"/>
                <w:szCs w:val="22"/>
                <w:u w:val="single" w:color="auto"/>
                <w:color w:val="0000FF"/>
                <w:w w:val="88"/>
              </w:rPr>
            </w:pPr>
            <w:hyperlink w:anchor="page78">
              <w:r>
                <w:rPr>
                  <w:rFonts w:ascii="Arial" w:cs="Arial" w:eastAsia="Arial" w:hAnsi="Arial"/>
                  <w:sz w:val="22"/>
                  <w:szCs w:val="22"/>
                  <w:u w:val="single" w:color="auto"/>
                  <w:color w:val="0000FF"/>
                  <w:w w:val="88"/>
                </w:rPr>
                <w:t>5.02</w:t>
              </w:r>
            </w:hyperlink>
          </w:p>
        </w:tc>
        <w:tc>
          <w:tcPr>
            <w:tcW w:w="7540" w:type="dxa"/>
            <w:vAlign w:val="bottom"/>
          </w:tcPr>
          <w:p>
            <w:pPr>
              <w:ind w:left="40"/>
              <w:spacing w:after="0"/>
              <w:rPr>
                <w:rFonts w:ascii="Arial" w:cs="Arial" w:eastAsia="Arial" w:hAnsi="Arial"/>
                <w:sz w:val="22"/>
                <w:szCs w:val="22"/>
                <w:u w:val="single" w:color="auto"/>
                <w:color w:val="0000FF"/>
              </w:rPr>
            </w:pPr>
            <w:hyperlink w:anchor="page78">
              <w:r>
                <w:rPr>
                  <w:rFonts w:ascii="Arial" w:cs="Arial" w:eastAsia="Arial" w:hAnsi="Arial"/>
                  <w:sz w:val="22"/>
                  <w:szCs w:val="22"/>
                  <w:u w:val="single" w:color="auto"/>
                  <w:color w:val="0000FF"/>
                </w:rPr>
                <w:t>Annual Retainer Deferral Election Deadline</w:t>
              </w:r>
            </w:hyperlink>
          </w:p>
        </w:tc>
        <w:tc>
          <w:tcPr>
            <w:tcW w:w="2580" w:type="dxa"/>
            <w:vAlign w:val="bottom"/>
          </w:tcPr>
          <w:p>
            <w:pPr>
              <w:ind w:left="2360"/>
              <w:spacing w:after="0"/>
              <w:rPr>
                <w:rFonts w:ascii="Arial" w:cs="Arial" w:eastAsia="Arial" w:hAnsi="Arial"/>
                <w:sz w:val="22"/>
                <w:szCs w:val="22"/>
                <w:u w:val="single" w:color="auto"/>
                <w:color w:val="auto"/>
                <w:w w:val="81"/>
              </w:rPr>
            </w:pPr>
            <w:hyperlink w:anchor="page78">
              <w:r>
                <w:rPr>
                  <w:rFonts w:ascii="Arial" w:cs="Arial" w:eastAsia="Arial" w:hAnsi="Arial"/>
                  <w:sz w:val="22"/>
                  <w:szCs w:val="22"/>
                  <w:u w:val="single" w:color="auto"/>
                  <w:color w:val="auto"/>
                  <w:w w:val="81"/>
                </w:rPr>
                <w:t>13</w:t>
              </w:r>
            </w:hyperlink>
          </w:p>
        </w:tc>
      </w:tr>
      <w:tr>
        <w:trPr>
          <w:trHeight w:val="310"/>
        </w:trPr>
        <w:tc>
          <w:tcPr>
            <w:tcW w:w="7940" w:type="dxa"/>
            <w:vAlign w:val="bottom"/>
            <w:gridSpan w:val="2"/>
          </w:tcPr>
          <w:p>
            <w:pPr>
              <w:spacing w:after="0"/>
              <w:rPr>
                <w:rFonts w:ascii="Arial" w:cs="Arial" w:eastAsia="Arial" w:hAnsi="Arial"/>
                <w:sz w:val="22"/>
                <w:szCs w:val="22"/>
                <w:u w:val="single" w:color="auto"/>
                <w:color w:val="0000FF"/>
              </w:rPr>
            </w:pPr>
            <w:hyperlink w:anchor="page78">
              <w:r>
                <w:rPr>
                  <w:rFonts w:ascii="Arial" w:cs="Arial" w:eastAsia="Arial" w:hAnsi="Arial"/>
                  <w:sz w:val="22"/>
                  <w:szCs w:val="22"/>
                  <w:u w:val="single" w:color="auto"/>
                  <w:color w:val="0000FF"/>
                </w:rPr>
                <w:t>5.03 Distribution Commencement Date</w:t>
              </w:r>
            </w:hyperlink>
          </w:p>
        </w:tc>
        <w:tc>
          <w:tcPr>
            <w:tcW w:w="2580" w:type="dxa"/>
            <w:vAlign w:val="bottom"/>
          </w:tcPr>
          <w:p>
            <w:pPr>
              <w:ind w:left="2360"/>
              <w:spacing w:after="0"/>
              <w:rPr>
                <w:rFonts w:ascii="Arial" w:cs="Arial" w:eastAsia="Arial" w:hAnsi="Arial"/>
                <w:sz w:val="22"/>
                <w:szCs w:val="22"/>
                <w:u w:val="single" w:color="auto"/>
                <w:color w:val="auto"/>
                <w:w w:val="81"/>
              </w:rPr>
            </w:pPr>
            <w:hyperlink w:anchor="page78">
              <w:r>
                <w:rPr>
                  <w:rFonts w:ascii="Arial" w:cs="Arial" w:eastAsia="Arial" w:hAnsi="Arial"/>
                  <w:sz w:val="22"/>
                  <w:szCs w:val="22"/>
                  <w:u w:val="single" w:color="auto"/>
                  <w:color w:val="auto"/>
                  <w:w w:val="81"/>
                </w:rPr>
                <w:t>13</w:t>
              </w:r>
            </w:hyperlink>
          </w:p>
        </w:tc>
      </w:tr>
      <w:tr>
        <w:trPr>
          <w:trHeight w:val="310"/>
        </w:trPr>
        <w:tc>
          <w:tcPr>
            <w:tcW w:w="400" w:type="dxa"/>
            <w:vAlign w:val="bottom"/>
          </w:tcPr>
          <w:p>
            <w:pPr>
              <w:spacing w:after="0"/>
              <w:rPr>
                <w:rFonts w:ascii="Arial" w:cs="Arial" w:eastAsia="Arial" w:hAnsi="Arial"/>
                <w:sz w:val="22"/>
                <w:szCs w:val="22"/>
                <w:u w:val="single" w:color="auto"/>
                <w:color w:val="0000FF"/>
                <w:w w:val="88"/>
              </w:rPr>
            </w:pPr>
            <w:hyperlink w:anchor="page78">
              <w:r>
                <w:rPr>
                  <w:rFonts w:ascii="Arial" w:cs="Arial" w:eastAsia="Arial" w:hAnsi="Arial"/>
                  <w:sz w:val="22"/>
                  <w:szCs w:val="22"/>
                  <w:u w:val="single" w:color="auto"/>
                  <w:color w:val="0000FF"/>
                  <w:w w:val="88"/>
                </w:rPr>
                <w:t>5.04</w:t>
              </w:r>
            </w:hyperlink>
          </w:p>
        </w:tc>
        <w:tc>
          <w:tcPr>
            <w:tcW w:w="7540" w:type="dxa"/>
            <w:vAlign w:val="bottom"/>
          </w:tcPr>
          <w:p>
            <w:pPr>
              <w:ind w:left="40"/>
              <w:spacing w:after="0"/>
              <w:rPr>
                <w:rFonts w:ascii="Arial" w:cs="Arial" w:eastAsia="Arial" w:hAnsi="Arial"/>
                <w:sz w:val="22"/>
                <w:szCs w:val="22"/>
                <w:u w:val="single" w:color="auto"/>
                <w:color w:val="0000FF"/>
              </w:rPr>
            </w:pPr>
            <w:hyperlink w:anchor="page78">
              <w:r>
                <w:rPr>
                  <w:rFonts w:ascii="Arial" w:cs="Arial" w:eastAsia="Arial" w:hAnsi="Arial"/>
                  <w:sz w:val="22"/>
                  <w:szCs w:val="22"/>
                  <w:u w:val="single" w:color="auto"/>
                  <w:color w:val="0000FF"/>
                </w:rPr>
                <w:t>Election of Form and Amount of Distribution</w:t>
              </w:r>
            </w:hyperlink>
          </w:p>
        </w:tc>
        <w:tc>
          <w:tcPr>
            <w:tcW w:w="2580" w:type="dxa"/>
            <w:vAlign w:val="bottom"/>
          </w:tcPr>
          <w:p>
            <w:pPr>
              <w:ind w:left="2360"/>
              <w:spacing w:after="0"/>
              <w:rPr>
                <w:rFonts w:ascii="Arial" w:cs="Arial" w:eastAsia="Arial" w:hAnsi="Arial"/>
                <w:sz w:val="22"/>
                <w:szCs w:val="22"/>
                <w:u w:val="single" w:color="auto"/>
                <w:color w:val="auto"/>
                <w:w w:val="81"/>
              </w:rPr>
            </w:pPr>
            <w:hyperlink w:anchor="page78">
              <w:r>
                <w:rPr>
                  <w:rFonts w:ascii="Arial" w:cs="Arial" w:eastAsia="Arial" w:hAnsi="Arial"/>
                  <w:sz w:val="22"/>
                  <w:szCs w:val="22"/>
                  <w:u w:val="single" w:color="auto"/>
                  <w:color w:val="auto"/>
                  <w:w w:val="81"/>
                </w:rPr>
                <w:t>14</w:t>
              </w:r>
            </w:hyperlink>
          </w:p>
        </w:tc>
      </w:tr>
      <w:tr>
        <w:trPr>
          <w:trHeight w:val="311"/>
        </w:trPr>
        <w:tc>
          <w:tcPr>
            <w:tcW w:w="400" w:type="dxa"/>
            <w:vAlign w:val="bottom"/>
          </w:tcPr>
          <w:p>
            <w:pPr>
              <w:spacing w:after="0"/>
              <w:rPr>
                <w:rFonts w:ascii="Arial" w:cs="Arial" w:eastAsia="Arial" w:hAnsi="Arial"/>
                <w:sz w:val="22"/>
                <w:szCs w:val="22"/>
                <w:u w:val="single" w:color="auto"/>
                <w:color w:val="0000FF"/>
                <w:w w:val="88"/>
              </w:rPr>
            </w:pPr>
            <w:hyperlink w:anchor="page78">
              <w:r>
                <w:rPr>
                  <w:rFonts w:ascii="Arial" w:cs="Arial" w:eastAsia="Arial" w:hAnsi="Arial"/>
                  <w:sz w:val="22"/>
                  <w:szCs w:val="22"/>
                  <w:u w:val="single" w:color="auto"/>
                  <w:color w:val="0000FF"/>
                  <w:w w:val="88"/>
                </w:rPr>
                <w:t>5.05</w:t>
              </w:r>
            </w:hyperlink>
          </w:p>
        </w:tc>
        <w:tc>
          <w:tcPr>
            <w:tcW w:w="7540" w:type="dxa"/>
            <w:vAlign w:val="bottom"/>
          </w:tcPr>
          <w:p>
            <w:pPr>
              <w:ind w:left="40"/>
              <w:spacing w:after="0"/>
              <w:rPr>
                <w:rFonts w:ascii="Arial" w:cs="Arial" w:eastAsia="Arial" w:hAnsi="Arial"/>
                <w:sz w:val="22"/>
                <w:szCs w:val="22"/>
                <w:u w:val="single" w:color="auto"/>
                <w:color w:val="0000FF"/>
              </w:rPr>
            </w:pPr>
            <w:hyperlink w:anchor="page78">
              <w:r>
                <w:rPr>
                  <w:rFonts w:ascii="Arial" w:cs="Arial" w:eastAsia="Arial" w:hAnsi="Arial"/>
                  <w:sz w:val="22"/>
                  <w:szCs w:val="22"/>
                  <w:u w:val="single" w:color="auto"/>
                  <w:color w:val="0000FF"/>
                </w:rPr>
                <w:t>Change in Distribution Election</w:t>
              </w:r>
            </w:hyperlink>
          </w:p>
        </w:tc>
        <w:tc>
          <w:tcPr>
            <w:tcW w:w="2580" w:type="dxa"/>
            <w:vAlign w:val="bottom"/>
          </w:tcPr>
          <w:p>
            <w:pPr>
              <w:ind w:left="2360"/>
              <w:spacing w:after="0"/>
              <w:rPr>
                <w:rFonts w:ascii="Arial" w:cs="Arial" w:eastAsia="Arial" w:hAnsi="Arial"/>
                <w:sz w:val="22"/>
                <w:szCs w:val="22"/>
                <w:u w:val="single" w:color="auto"/>
                <w:color w:val="auto"/>
                <w:w w:val="81"/>
              </w:rPr>
            </w:pPr>
            <w:hyperlink w:anchor="page78">
              <w:r>
                <w:rPr>
                  <w:rFonts w:ascii="Arial" w:cs="Arial" w:eastAsia="Arial" w:hAnsi="Arial"/>
                  <w:sz w:val="22"/>
                  <w:szCs w:val="22"/>
                  <w:u w:val="single" w:color="auto"/>
                  <w:color w:val="auto"/>
                  <w:w w:val="81"/>
                </w:rPr>
                <w:t>15</w:t>
              </w:r>
            </w:hyperlink>
          </w:p>
        </w:tc>
      </w:tr>
      <w:tr>
        <w:trPr>
          <w:trHeight w:val="310"/>
        </w:trPr>
        <w:tc>
          <w:tcPr>
            <w:tcW w:w="7940" w:type="dxa"/>
            <w:vAlign w:val="bottom"/>
            <w:gridSpan w:val="2"/>
          </w:tcPr>
          <w:p>
            <w:pPr>
              <w:spacing w:after="0"/>
              <w:rPr>
                <w:rFonts w:ascii="Arial" w:cs="Arial" w:eastAsia="Arial" w:hAnsi="Arial"/>
                <w:sz w:val="22"/>
                <w:szCs w:val="22"/>
                <w:u w:val="single" w:color="auto"/>
                <w:color w:val="0000FF"/>
              </w:rPr>
            </w:pPr>
            <w:hyperlink w:anchor="page78">
              <w:r>
                <w:rPr>
                  <w:rFonts w:ascii="Arial" w:cs="Arial" w:eastAsia="Arial" w:hAnsi="Arial"/>
                  <w:sz w:val="22"/>
                  <w:szCs w:val="22"/>
                  <w:u w:val="single" w:color="auto"/>
                  <w:color w:val="0000FF"/>
                </w:rPr>
                <w:t>Article VI ADMINISTRATION</w:t>
              </w:r>
            </w:hyperlink>
          </w:p>
        </w:tc>
        <w:tc>
          <w:tcPr>
            <w:tcW w:w="2580" w:type="dxa"/>
            <w:vAlign w:val="bottom"/>
          </w:tcPr>
          <w:p>
            <w:pPr>
              <w:ind w:left="2360"/>
              <w:spacing w:after="0"/>
              <w:rPr>
                <w:rFonts w:ascii="Arial" w:cs="Arial" w:eastAsia="Arial" w:hAnsi="Arial"/>
                <w:sz w:val="22"/>
                <w:szCs w:val="22"/>
                <w:u w:val="single" w:color="auto"/>
                <w:color w:val="auto"/>
                <w:w w:val="81"/>
              </w:rPr>
            </w:pPr>
            <w:hyperlink w:anchor="page78">
              <w:r>
                <w:rPr>
                  <w:rFonts w:ascii="Arial" w:cs="Arial" w:eastAsia="Arial" w:hAnsi="Arial"/>
                  <w:sz w:val="22"/>
                  <w:szCs w:val="22"/>
                  <w:u w:val="single" w:color="auto"/>
                  <w:color w:val="auto"/>
                  <w:w w:val="81"/>
                </w:rPr>
                <w:t>16</w:t>
              </w:r>
            </w:hyperlink>
          </w:p>
        </w:tc>
      </w:tr>
      <w:tr>
        <w:trPr>
          <w:trHeight w:val="310"/>
        </w:trPr>
        <w:tc>
          <w:tcPr>
            <w:tcW w:w="400" w:type="dxa"/>
            <w:vAlign w:val="bottom"/>
          </w:tcPr>
          <w:p>
            <w:pPr>
              <w:spacing w:after="0"/>
              <w:rPr>
                <w:rFonts w:ascii="Arial" w:cs="Arial" w:eastAsia="Arial" w:hAnsi="Arial"/>
                <w:sz w:val="22"/>
                <w:szCs w:val="22"/>
                <w:u w:val="single" w:color="auto"/>
                <w:color w:val="0000FF"/>
                <w:w w:val="88"/>
              </w:rPr>
            </w:pPr>
            <w:hyperlink w:anchor="page78">
              <w:r>
                <w:rPr>
                  <w:rFonts w:ascii="Arial" w:cs="Arial" w:eastAsia="Arial" w:hAnsi="Arial"/>
                  <w:sz w:val="22"/>
                  <w:szCs w:val="22"/>
                  <w:u w:val="single" w:color="auto"/>
                  <w:color w:val="0000FF"/>
                  <w:w w:val="88"/>
                </w:rPr>
                <w:t>6.01</w:t>
              </w:r>
            </w:hyperlink>
          </w:p>
        </w:tc>
        <w:tc>
          <w:tcPr>
            <w:tcW w:w="7540" w:type="dxa"/>
            <w:vAlign w:val="bottom"/>
          </w:tcPr>
          <w:p>
            <w:pPr>
              <w:ind w:left="40"/>
              <w:spacing w:after="0"/>
              <w:rPr>
                <w:rFonts w:ascii="Arial" w:cs="Arial" w:eastAsia="Arial" w:hAnsi="Arial"/>
                <w:sz w:val="22"/>
                <w:szCs w:val="22"/>
                <w:u w:val="single" w:color="auto"/>
                <w:color w:val="0000FF"/>
              </w:rPr>
            </w:pPr>
            <w:hyperlink w:anchor="page78">
              <w:r>
                <w:rPr>
                  <w:rFonts w:ascii="Arial" w:cs="Arial" w:eastAsia="Arial" w:hAnsi="Arial"/>
                  <w:sz w:val="22"/>
                  <w:szCs w:val="22"/>
                  <w:u w:val="single" w:color="auto"/>
                  <w:color w:val="0000FF"/>
                </w:rPr>
                <w:t>In General</w:t>
              </w:r>
            </w:hyperlink>
          </w:p>
        </w:tc>
        <w:tc>
          <w:tcPr>
            <w:tcW w:w="2580" w:type="dxa"/>
            <w:vAlign w:val="bottom"/>
          </w:tcPr>
          <w:p>
            <w:pPr>
              <w:ind w:left="2360"/>
              <w:spacing w:after="0"/>
              <w:rPr>
                <w:rFonts w:ascii="Arial" w:cs="Arial" w:eastAsia="Arial" w:hAnsi="Arial"/>
                <w:sz w:val="22"/>
                <w:szCs w:val="22"/>
                <w:u w:val="single" w:color="auto"/>
                <w:color w:val="auto"/>
                <w:w w:val="81"/>
              </w:rPr>
            </w:pPr>
            <w:hyperlink w:anchor="page78">
              <w:r>
                <w:rPr>
                  <w:rFonts w:ascii="Arial" w:cs="Arial" w:eastAsia="Arial" w:hAnsi="Arial"/>
                  <w:sz w:val="22"/>
                  <w:szCs w:val="22"/>
                  <w:u w:val="single" w:color="auto"/>
                  <w:color w:val="auto"/>
                  <w:w w:val="81"/>
                </w:rPr>
                <w:t>16</w:t>
              </w:r>
            </w:hyperlink>
          </w:p>
        </w:tc>
      </w:tr>
      <w:tr>
        <w:trPr>
          <w:trHeight w:val="310"/>
        </w:trPr>
        <w:tc>
          <w:tcPr>
            <w:tcW w:w="7940" w:type="dxa"/>
            <w:vAlign w:val="bottom"/>
            <w:gridSpan w:val="2"/>
          </w:tcPr>
          <w:p>
            <w:pPr>
              <w:spacing w:after="0"/>
              <w:rPr>
                <w:rFonts w:ascii="Arial" w:cs="Arial" w:eastAsia="Arial" w:hAnsi="Arial"/>
                <w:sz w:val="22"/>
                <w:szCs w:val="22"/>
                <w:u w:val="single" w:color="auto"/>
                <w:color w:val="0000FF"/>
              </w:rPr>
            </w:pPr>
            <w:hyperlink w:anchor="page78">
              <w:r>
                <w:rPr>
                  <w:rFonts w:ascii="Arial" w:cs="Arial" w:eastAsia="Arial" w:hAnsi="Arial"/>
                  <w:sz w:val="22"/>
                  <w:szCs w:val="22"/>
                  <w:u w:val="single" w:color="auto"/>
                  <w:color w:val="0000FF"/>
                </w:rPr>
                <w:t>6.02 Plan Amendment and Termination</w:t>
              </w:r>
            </w:hyperlink>
          </w:p>
        </w:tc>
        <w:tc>
          <w:tcPr>
            <w:tcW w:w="2580" w:type="dxa"/>
            <w:vAlign w:val="bottom"/>
          </w:tcPr>
          <w:p>
            <w:pPr>
              <w:ind w:left="2360"/>
              <w:spacing w:after="0"/>
              <w:rPr>
                <w:rFonts w:ascii="Arial" w:cs="Arial" w:eastAsia="Arial" w:hAnsi="Arial"/>
                <w:sz w:val="22"/>
                <w:szCs w:val="22"/>
                <w:u w:val="single" w:color="auto"/>
                <w:color w:val="auto"/>
                <w:w w:val="81"/>
              </w:rPr>
            </w:pPr>
            <w:hyperlink w:anchor="page78">
              <w:r>
                <w:rPr>
                  <w:rFonts w:ascii="Arial" w:cs="Arial" w:eastAsia="Arial" w:hAnsi="Arial"/>
                  <w:sz w:val="22"/>
                  <w:szCs w:val="22"/>
                  <w:u w:val="single" w:color="auto"/>
                  <w:color w:val="auto"/>
                  <w:w w:val="81"/>
                </w:rPr>
                <w:t>16</w:t>
              </w:r>
            </w:hyperlink>
          </w:p>
        </w:tc>
      </w:tr>
      <w:tr>
        <w:trPr>
          <w:trHeight w:val="310"/>
        </w:trPr>
        <w:tc>
          <w:tcPr>
            <w:tcW w:w="400" w:type="dxa"/>
            <w:vAlign w:val="bottom"/>
          </w:tcPr>
          <w:p>
            <w:pPr>
              <w:spacing w:after="0"/>
              <w:rPr>
                <w:rFonts w:ascii="Arial" w:cs="Arial" w:eastAsia="Arial" w:hAnsi="Arial"/>
                <w:sz w:val="22"/>
                <w:szCs w:val="22"/>
                <w:u w:val="single" w:color="auto"/>
                <w:color w:val="0000FF"/>
                <w:w w:val="88"/>
              </w:rPr>
            </w:pPr>
            <w:hyperlink w:anchor="page78">
              <w:r>
                <w:rPr>
                  <w:rFonts w:ascii="Arial" w:cs="Arial" w:eastAsia="Arial" w:hAnsi="Arial"/>
                  <w:sz w:val="22"/>
                  <w:szCs w:val="22"/>
                  <w:u w:val="single" w:color="auto"/>
                  <w:color w:val="0000FF"/>
                  <w:w w:val="88"/>
                </w:rPr>
                <w:t>6.03</w:t>
              </w:r>
            </w:hyperlink>
          </w:p>
        </w:tc>
        <w:tc>
          <w:tcPr>
            <w:tcW w:w="7540" w:type="dxa"/>
            <w:vAlign w:val="bottom"/>
          </w:tcPr>
          <w:p>
            <w:pPr>
              <w:ind w:left="40"/>
              <w:spacing w:after="0"/>
              <w:rPr>
                <w:rFonts w:ascii="Arial" w:cs="Arial" w:eastAsia="Arial" w:hAnsi="Arial"/>
                <w:sz w:val="22"/>
                <w:szCs w:val="22"/>
                <w:u w:val="single" w:color="auto"/>
                <w:color w:val="0000FF"/>
              </w:rPr>
            </w:pPr>
            <w:hyperlink w:anchor="page78">
              <w:r>
                <w:rPr>
                  <w:rFonts w:ascii="Arial" w:cs="Arial" w:eastAsia="Arial" w:hAnsi="Arial"/>
                  <w:sz w:val="22"/>
                  <w:szCs w:val="22"/>
                  <w:u w:val="single" w:color="auto"/>
                  <w:color w:val="0000FF"/>
                </w:rPr>
                <w:t>Reports to Participants</w:t>
              </w:r>
            </w:hyperlink>
          </w:p>
        </w:tc>
        <w:tc>
          <w:tcPr>
            <w:tcW w:w="2580" w:type="dxa"/>
            <w:vAlign w:val="bottom"/>
          </w:tcPr>
          <w:p>
            <w:pPr>
              <w:ind w:left="2360"/>
              <w:spacing w:after="0"/>
              <w:rPr>
                <w:rFonts w:ascii="Arial" w:cs="Arial" w:eastAsia="Arial" w:hAnsi="Arial"/>
                <w:sz w:val="22"/>
                <w:szCs w:val="22"/>
                <w:u w:val="single" w:color="auto"/>
                <w:color w:val="auto"/>
                <w:w w:val="81"/>
              </w:rPr>
            </w:pPr>
            <w:hyperlink w:anchor="page78">
              <w:r>
                <w:rPr>
                  <w:rFonts w:ascii="Arial" w:cs="Arial" w:eastAsia="Arial" w:hAnsi="Arial"/>
                  <w:sz w:val="22"/>
                  <w:szCs w:val="22"/>
                  <w:u w:val="single" w:color="auto"/>
                  <w:color w:val="auto"/>
                  <w:w w:val="81"/>
                </w:rPr>
                <w:t>17</w:t>
              </w:r>
            </w:hyperlink>
          </w:p>
        </w:tc>
      </w:tr>
      <w:tr>
        <w:trPr>
          <w:trHeight w:val="310"/>
        </w:trPr>
        <w:tc>
          <w:tcPr>
            <w:tcW w:w="400" w:type="dxa"/>
            <w:vAlign w:val="bottom"/>
          </w:tcPr>
          <w:p>
            <w:pPr>
              <w:spacing w:after="0"/>
              <w:rPr>
                <w:rFonts w:ascii="Arial" w:cs="Arial" w:eastAsia="Arial" w:hAnsi="Arial"/>
                <w:sz w:val="22"/>
                <w:szCs w:val="22"/>
                <w:u w:val="single" w:color="auto"/>
                <w:color w:val="0000FF"/>
                <w:w w:val="88"/>
              </w:rPr>
            </w:pPr>
            <w:hyperlink w:anchor="page78">
              <w:r>
                <w:rPr>
                  <w:rFonts w:ascii="Arial" w:cs="Arial" w:eastAsia="Arial" w:hAnsi="Arial"/>
                  <w:sz w:val="22"/>
                  <w:szCs w:val="22"/>
                  <w:u w:val="single" w:color="auto"/>
                  <w:color w:val="0000FF"/>
                  <w:w w:val="88"/>
                </w:rPr>
                <w:t>6.04</w:t>
              </w:r>
            </w:hyperlink>
          </w:p>
        </w:tc>
        <w:tc>
          <w:tcPr>
            <w:tcW w:w="7540" w:type="dxa"/>
            <w:vAlign w:val="bottom"/>
          </w:tcPr>
          <w:p>
            <w:pPr>
              <w:ind w:left="40"/>
              <w:spacing w:after="0"/>
              <w:rPr>
                <w:rFonts w:ascii="Arial" w:cs="Arial" w:eastAsia="Arial" w:hAnsi="Arial"/>
                <w:sz w:val="22"/>
                <w:szCs w:val="22"/>
                <w:u w:val="single" w:color="auto"/>
                <w:color w:val="0000FF"/>
              </w:rPr>
            </w:pPr>
            <w:hyperlink w:anchor="page78">
              <w:r>
                <w:rPr>
                  <w:rFonts w:ascii="Arial" w:cs="Arial" w:eastAsia="Arial" w:hAnsi="Arial"/>
                  <w:sz w:val="22"/>
                  <w:szCs w:val="22"/>
                  <w:u w:val="single" w:color="auto"/>
                  <w:color w:val="0000FF"/>
                </w:rPr>
                <w:t>Delegation of Authority</w:t>
              </w:r>
            </w:hyperlink>
          </w:p>
        </w:tc>
        <w:tc>
          <w:tcPr>
            <w:tcW w:w="2580" w:type="dxa"/>
            <w:vAlign w:val="bottom"/>
          </w:tcPr>
          <w:p>
            <w:pPr>
              <w:ind w:left="2360"/>
              <w:spacing w:after="0"/>
              <w:rPr>
                <w:rFonts w:ascii="Arial" w:cs="Arial" w:eastAsia="Arial" w:hAnsi="Arial"/>
                <w:sz w:val="22"/>
                <w:szCs w:val="22"/>
                <w:u w:val="single" w:color="auto"/>
                <w:color w:val="auto"/>
                <w:w w:val="81"/>
              </w:rPr>
            </w:pPr>
            <w:hyperlink w:anchor="page78">
              <w:r>
                <w:rPr>
                  <w:rFonts w:ascii="Arial" w:cs="Arial" w:eastAsia="Arial" w:hAnsi="Arial"/>
                  <w:sz w:val="22"/>
                  <w:szCs w:val="22"/>
                  <w:u w:val="single" w:color="auto"/>
                  <w:color w:val="auto"/>
                  <w:w w:val="81"/>
                </w:rPr>
                <w:t>17</w:t>
              </w:r>
            </w:hyperlink>
          </w:p>
        </w:tc>
      </w:tr>
      <w:tr>
        <w:trPr>
          <w:trHeight w:val="310"/>
        </w:trPr>
        <w:tc>
          <w:tcPr>
            <w:tcW w:w="400" w:type="dxa"/>
            <w:vAlign w:val="bottom"/>
          </w:tcPr>
          <w:p>
            <w:pPr>
              <w:spacing w:after="0"/>
              <w:rPr>
                <w:rFonts w:ascii="Arial" w:cs="Arial" w:eastAsia="Arial" w:hAnsi="Arial"/>
                <w:sz w:val="22"/>
                <w:szCs w:val="22"/>
                <w:u w:val="single" w:color="auto"/>
                <w:color w:val="0000FF"/>
                <w:w w:val="88"/>
              </w:rPr>
            </w:pPr>
            <w:hyperlink w:anchor="page78">
              <w:r>
                <w:rPr>
                  <w:rFonts w:ascii="Arial" w:cs="Arial" w:eastAsia="Arial" w:hAnsi="Arial"/>
                  <w:sz w:val="22"/>
                  <w:szCs w:val="22"/>
                  <w:u w:val="single" w:color="auto"/>
                  <w:color w:val="0000FF"/>
                  <w:w w:val="88"/>
                </w:rPr>
                <w:t>6.05</w:t>
              </w:r>
            </w:hyperlink>
          </w:p>
        </w:tc>
        <w:tc>
          <w:tcPr>
            <w:tcW w:w="7540" w:type="dxa"/>
            <w:vAlign w:val="bottom"/>
          </w:tcPr>
          <w:p>
            <w:pPr>
              <w:ind w:left="40"/>
              <w:spacing w:after="0"/>
              <w:rPr>
                <w:rFonts w:ascii="Arial" w:cs="Arial" w:eastAsia="Arial" w:hAnsi="Arial"/>
                <w:sz w:val="22"/>
                <w:szCs w:val="22"/>
                <w:u w:val="single" w:color="auto"/>
                <w:color w:val="0000FF"/>
              </w:rPr>
            </w:pPr>
            <w:hyperlink w:anchor="page78">
              <w:r>
                <w:rPr>
                  <w:rFonts w:ascii="Arial" w:cs="Arial" w:eastAsia="Arial" w:hAnsi="Arial"/>
                  <w:sz w:val="22"/>
                  <w:szCs w:val="22"/>
                  <w:u w:val="single" w:color="auto"/>
                  <w:color w:val="0000FF"/>
                </w:rPr>
                <w:t>Distribution of Shares</w:t>
              </w:r>
            </w:hyperlink>
          </w:p>
        </w:tc>
        <w:tc>
          <w:tcPr>
            <w:tcW w:w="2580" w:type="dxa"/>
            <w:vAlign w:val="bottom"/>
          </w:tcPr>
          <w:p>
            <w:pPr>
              <w:ind w:left="2360"/>
              <w:spacing w:after="0"/>
              <w:rPr>
                <w:rFonts w:ascii="Arial" w:cs="Arial" w:eastAsia="Arial" w:hAnsi="Arial"/>
                <w:sz w:val="22"/>
                <w:szCs w:val="22"/>
                <w:u w:val="single" w:color="auto"/>
                <w:color w:val="auto"/>
                <w:w w:val="81"/>
              </w:rPr>
            </w:pPr>
            <w:hyperlink w:anchor="page78">
              <w:r>
                <w:rPr>
                  <w:rFonts w:ascii="Arial" w:cs="Arial" w:eastAsia="Arial" w:hAnsi="Arial"/>
                  <w:sz w:val="22"/>
                  <w:szCs w:val="22"/>
                  <w:u w:val="single" w:color="auto"/>
                  <w:color w:val="auto"/>
                  <w:w w:val="81"/>
                </w:rPr>
                <w:t>18</w:t>
              </w:r>
            </w:hyperlink>
          </w:p>
        </w:tc>
      </w:tr>
      <w:tr>
        <w:trPr>
          <w:trHeight w:val="311"/>
        </w:trPr>
        <w:tc>
          <w:tcPr>
            <w:tcW w:w="7940" w:type="dxa"/>
            <w:vAlign w:val="bottom"/>
            <w:gridSpan w:val="2"/>
          </w:tcPr>
          <w:p>
            <w:pPr>
              <w:spacing w:after="0"/>
              <w:rPr>
                <w:rFonts w:ascii="Arial" w:cs="Arial" w:eastAsia="Arial" w:hAnsi="Arial"/>
                <w:sz w:val="22"/>
                <w:szCs w:val="22"/>
                <w:u w:val="single" w:color="auto"/>
                <w:color w:val="0000FF"/>
              </w:rPr>
            </w:pPr>
            <w:hyperlink w:anchor="page78">
              <w:r>
                <w:rPr>
                  <w:rFonts w:ascii="Arial" w:cs="Arial" w:eastAsia="Arial" w:hAnsi="Arial"/>
                  <w:sz w:val="22"/>
                  <w:szCs w:val="22"/>
                  <w:u w:val="single" w:color="auto"/>
                  <w:color w:val="0000FF"/>
                </w:rPr>
                <w:t>Article VII MISCELLANEOUS</w:t>
              </w:r>
            </w:hyperlink>
          </w:p>
        </w:tc>
        <w:tc>
          <w:tcPr>
            <w:tcW w:w="2580" w:type="dxa"/>
            <w:vAlign w:val="bottom"/>
          </w:tcPr>
          <w:p>
            <w:pPr>
              <w:ind w:left="2360"/>
              <w:spacing w:after="0"/>
              <w:rPr>
                <w:rFonts w:ascii="Arial" w:cs="Arial" w:eastAsia="Arial" w:hAnsi="Arial"/>
                <w:sz w:val="22"/>
                <w:szCs w:val="22"/>
                <w:u w:val="single" w:color="auto"/>
                <w:color w:val="auto"/>
                <w:w w:val="81"/>
              </w:rPr>
            </w:pPr>
            <w:hyperlink w:anchor="page78">
              <w:r>
                <w:rPr>
                  <w:rFonts w:ascii="Arial" w:cs="Arial" w:eastAsia="Arial" w:hAnsi="Arial"/>
                  <w:sz w:val="22"/>
                  <w:szCs w:val="22"/>
                  <w:u w:val="single" w:color="auto"/>
                  <w:color w:val="auto"/>
                  <w:w w:val="81"/>
                </w:rPr>
                <w:t>18</w:t>
              </w:r>
            </w:hyperlink>
          </w:p>
        </w:tc>
      </w:tr>
      <w:tr>
        <w:trPr>
          <w:trHeight w:val="310"/>
        </w:trPr>
        <w:tc>
          <w:tcPr>
            <w:tcW w:w="400" w:type="dxa"/>
            <w:vAlign w:val="bottom"/>
          </w:tcPr>
          <w:p>
            <w:pPr>
              <w:spacing w:after="0"/>
              <w:rPr>
                <w:rFonts w:ascii="Arial" w:cs="Arial" w:eastAsia="Arial" w:hAnsi="Arial"/>
                <w:sz w:val="22"/>
                <w:szCs w:val="22"/>
                <w:u w:val="single" w:color="auto"/>
                <w:color w:val="0000FF"/>
                <w:w w:val="88"/>
              </w:rPr>
            </w:pPr>
            <w:hyperlink w:anchor="page78">
              <w:r>
                <w:rPr>
                  <w:rFonts w:ascii="Arial" w:cs="Arial" w:eastAsia="Arial" w:hAnsi="Arial"/>
                  <w:sz w:val="22"/>
                  <w:szCs w:val="22"/>
                  <w:u w:val="single" w:color="auto"/>
                  <w:color w:val="0000FF"/>
                  <w:w w:val="88"/>
                </w:rPr>
                <w:t>7.01</w:t>
              </w:r>
            </w:hyperlink>
          </w:p>
        </w:tc>
        <w:tc>
          <w:tcPr>
            <w:tcW w:w="7540" w:type="dxa"/>
            <w:vAlign w:val="bottom"/>
          </w:tcPr>
          <w:p>
            <w:pPr>
              <w:ind w:left="40"/>
              <w:spacing w:after="0"/>
              <w:rPr>
                <w:rFonts w:ascii="Arial" w:cs="Arial" w:eastAsia="Arial" w:hAnsi="Arial"/>
                <w:sz w:val="22"/>
                <w:szCs w:val="22"/>
                <w:u w:val="single" w:color="auto"/>
                <w:color w:val="0000FF"/>
              </w:rPr>
            </w:pPr>
            <w:hyperlink w:anchor="page78">
              <w:r>
                <w:rPr>
                  <w:rFonts w:ascii="Arial" w:cs="Arial" w:eastAsia="Arial" w:hAnsi="Arial"/>
                  <w:sz w:val="22"/>
                  <w:szCs w:val="22"/>
                  <w:u w:val="single" w:color="auto"/>
                  <w:color w:val="0000FF"/>
                </w:rPr>
                <w:t>Rights Not Assignable</w:t>
              </w:r>
            </w:hyperlink>
          </w:p>
        </w:tc>
        <w:tc>
          <w:tcPr>
            <w:tcW w:w="2580" w:type="dxa"/>
            <w:vAlign w:val="bottom"/>
          </w:tcPr>
          <w:p>
            <w:pPr>
              <w:ind w:left="2360"/>
              <w:spacing w:after="0"/>
              <w:rPr>
                <w:rFonts w:ascii="Arial" w:cs="Arial" w:eastAsia="Arial" w:hAnsi="Arial"/>
                <w:sz w:val="22"/>
                <w:szCs w:val="22"/>
                <w:u w:val="single" w:color="auto"/>
                <w:color w:val="auto"/>
                <w:w w:val="81"/>
              </w:rPr>
            </w:pPr>
            <w:hyperlink w:anchor="page78">
              <w:r>
                <w:rPr>
                  <w:rFonts w:ascii="Arial" w:cs="Arial" w:eastAsia="Arial" w:hAnsi="Arial"/>
                  <w:sz w:val="22"/>
                  <w:szCs w:val="22"/>
                  <w:u w:val="single" w:color="auto"/>
                  <w:color w:val="auto"/>
                  <w:w w:val="81"/>
                </w:rPr>
                <w:t>18</w:t>
              </w:r>
            </w:hyperlink>
          </w:p>
        </w:tc>
      </w:tr>
      <w:tr>
        <w:trPr>
          <w:trHeight w:val="310"/>
        </w:trPr>
        <w:tc>
          <w:tcPr>
            <w:tcW w:w="400" w:type="dxa"/>
            <w:vAlign w:val="bottom"/>
          </w:tcPr>
          <w:p>
            <w:pPr>
              <w:spacing w:after="0"/>
              <w:rPr>
                <w:rFonts w:ascii="Arial" w:cs="Arial" w:eastAsia="Arial" w:hAnsi="Arial"/>
                <w:sz w:val="22"/>
                <w:szCs w:val="22"/>
                <w:u w:val="single" w:color="auto"/>
                <w:color w:val="0000FF"/>
                <w:w w:val="88"/>
              </w:rPr>
            </w:pPr>
            <w:hyperlink w:anchor="page78">
              <w:r>
                <w:rPr>
                  <w:rFonts w:ascii="Arial" w:cs="Arial" w:eastAsia="Arial" w:hAnsi="Arial"/>
                  <w:sz w:val="22"/>
                  <w:szCs w:val="22"/>
                  <w:u w:val="single" w:color="auto"/>
                  <w:color w:val="0000FF"/>
                  <w:w w:val="88"/>
                </w:rPr>
                <w:t>7.02</w:t>
              </w:r>
            </w:hyperlink>
          </w:p>
        </w:tc>
        <w:tc>
          <w:tcPr>
            <w:tcW w:w="7540" w:type="dxa"/>
            <w:vAlign w:val="bottom"/>
          </w:tcPr>
          <w:p>
            <w:pPr>
              <w:ind w:left="40"/>
              <w:spacing w:after="0"/>
              <w:rPr>
                <w:rFonts w:ascii="Arial" w:cs="Arial" w:eastAsia="Arial" w:hAnsi="Arial"/>
                <w:sz w:val="22"/>
                <w:szCs w:val="22"/>
                <w:u w:val="single" w:color="auto"/>
                <w:color w:val="0000FF"/>
              </w:rPr>
            </w:pPr>
            <w:hyperlink w:anchor="page78">
              <w:r>
                <w:rPr>
                  <w:rFonts w:ascii="Arial" w:cs="Arial" w:eastAsia="Arial" w:hAnsi="Arial"/>
                  <w:sz w:val="22"/>
                  <w:szCs w:val="22"/>
                  <w:u w:val="single" w:color="auto"/>
                  <w:color w:val="0000FF"/>
                </w:rPr>
                <w:t>Certain Rights Reserved</w:t>
              </w:r>
            </w:hyperlink>
          </w:p>
        </w:tc>
        <w:tc>
          <w:tcPr>
            <w:tcW w:w="2580" w:type="dxa"/>
            <w:vAlign w:val="bottom"/>
          </w:tcPr>
          <w:p>
            <w:pPr>
              <w:ind w:left="2360"/>
              <w:spacing w:after="0"/>
              <w:rPr>
                <w:rFonts w:ascii="Arial" w:cs="Arial" w:eastAsia="Arial" w:hAnsi="Arial"/>
                <w:sz w:val="22"/>
                <w:szCs w:val="22"/>
                <w:u w:val="single" w:color="auto"/>
                <w:color w:val="auto"/>
                <w:w w:val="81"/>
              </w:rPr>
            </w:pPr>
            <w:hyperlink w:anchor="page78">
              <w:r>
                <w:rPr>
                  <w:rFonts w:ascii="Arial" w:cs="Arial" w:eastAsia="Arial" w:hAnsi="Arial"/>
                  <w:sz w:val="22"/>
                  <w:szCs w:val="22"/>
                  <w:u w:val="single" w:color="auto"/>
                  <w:color w:val="auto"/>
                  <w:w w:val="81"/>
                </w:rPr>
                <w:t>18</w:t>
              </w:r>
            </w:hyperlink>
          </w:p>
        </w:tc>
      </w:tr>
      <w:tr>
        <w:trPr>
          <w:trHeight w:val="310"/>
        </w:trPr>
        <w:tc>
          <w:tcPr>
            <w:tcW w:w="7940" w:type="dxa"/>
            <w:vAlign w:val="bottom"/>
            <w:gridSpan w:val="2"/>
          </w:tcPr>
          <w:p>
            <w:pPr>
              <w:spacing w:after="0"/>
              <w:rPr>
                <w:rFonts w:ascii="Arial" w:cs="Arial" w:eastAsia="Arial" w:hAnsi="Arial"/>
                <w:sz w:val="22"/>
                <w:szCs w:val="22"/>
                <w:u w:val="single" w:color="auto"/>
                <w:color w:val="0000FF"/>
              </w:rPr>
            </w:pPr>
            <w:hyperlink w:anchor="page78">
              <w:r>
                <w:rPr>
                  <w:rFonts w:ascii="Arial" w:cs="Arial" w:eastAsia="Arial" w:hAnsi="Arial"/>
                  <w:sz w:val="22"/>
                  <w:szCs w:val="22"/>
                  <w:u w:val="single" w:color="auto"/>
                  <w:color w:val="0000FF"/>
                </w:rPr>
                <w:t>7.03 Withholding Taxes</w:t>
              </w:r>
            </w:hyperlink>
          </w:p>
        </w:tc>
        <w:tc>
          <w:tcPr>
            <w:tcW w:w="2580" w:type="dxa"/>
            <w:vAlign w:val="bottom"/>
          </w:tcPr>
          <w:p>
            <w:pPr>
              <w:ind w:left="2360"/>
              <w:spacing w:after="0"/>
              <w:rPr>
                <w:rFonts w:ascii="Arial" w:cs="Arial" w:eastAsia="Arial" w:hAnsi="Arial"/>
                <w:sz w:val="22"/>
                <w:szCs w:val="22"/>
                <w:u w:val="single" w:color="auto"/>
                <w:color w:val="auto"/>
                <w:w w:val="81"/>
              </w:rPr>
            </w:pPr>
            <w:hyperlink w:anchor="page78">
              <w:r>
                <w:rPr>
                  <w:rFonts w:ascii="Arial" w:cs="Arial" w:eastAsia="Arial" w:hAnsi="Arial"/>
                  <w:sz w:val="22"/>
                  <w:szCs w:val="22"/>
                  <w:u w:val="single" w:color="auto"/>
                  <w:color w:val="auto"/>
                  <w:w w:val="81"/>
                </w:rPr>
                <w:t>18</w:t>
              </w:r>
            </w:hyperlink>
          </w:p>
        </w:tc>
      </w:tr>
      <w:tr>
        <w:trPr>
          <w:trHeight w:val="310"/>
        </w:trPr>
        <w:tc>
          <w:tcPr>
            <w:tcW w:w="7940" w:type="dxa"/>
            <w:vAlign w:val="bottom"/>
            <w:gridSpan w:val="2"/>
          </w:tcPr>
          <w:p>
            <w:pPr>
              <w:spacing w:after="0"/>
              <w:rPr>
                <w:rFonts w:ascii="Arial" w:cs="Arial" w:eastAsia="Arial" w:hAnsi="Arial"/>
                <w:sz w:val="22"/>
                <w:szCs w:val="22"/>
                <w:u w:val="single" w:color="auto"/>
                <w:color w:val="0000FF"/>
              </w:rPr>
            </w:pPr>
            <w:hyperlink w:anchor="page78">
              <w:r>
                <w:rPr>
                  <w:rFonts w:ascii="Arial" w:cs="Arial" w:eastAsia="Arial" w:hAnsi="Arial"/>
                  <w:sz w:val="22"/>
                  <w:szCs w:val="22"/>
                  <w:u w:val="single" w:color="auto"/>
                  <w:color w:val="0000FF"/>
                </w:rPr>
                <w:t>7.04 Compliance with Section 409A</w:t>
              </w:r>
            </w:hyperlink>
          </w:p>
        </w:tc>
        <w:tc>
          <w:tcPr>
            <w:tcW w:w="2580" w:type="dxa"/>
            <w:vAlign w:val="bottom"/>
          </w:tcPr>
          <w:p>
            <w:pPr>
              <w:ind w:left="2360"/>
              <w:spacing w:after="0"/>
              <w:rPr>
                <w:rFonts w:ascii="Arial" w:cs="Arial" w:eastAsia="Arial" w:hAnsi="Arial"/>
                <w:sz w:val="22"/>
                <w:szCs w:val="22"/>
                <w:u w:val="single" w:color="auto"/>
                <w:color w:val="auto"/>
                <w:w w:val="81"/>
              </w:rPr>
            </w:pPr>
            <w:hyperlink w:anchor="page78">
              <w:r>
                <w:rPr>
                  <w:rFonts w:ascii="Arial" w:cs="Arial" w:eastAsia="Arial" w:hAnsi="Arial"/>
                  <w:sz w:val="22"/>
                  <w:szCs w:val="22"/>
                  <w:u w:val="single" w:color="auto"/>
                  <w:color w:val="auto"/>
                  <w:w w:val="81"/>
                </w:rPr>
                <w:t>19</w:t>
              </w:r>
            </w:hyperlink>
          </w:p>
        </w:tc>
      </w:tr>
      <w:tr>
        <w:trPr>
          <w:trHeight w:val="310"/>
        </w:trPr>
        <w:tc>
          <w:tcPr>
            <w:tcW w:w="7940" w:type="dxa"/>
            <w:vAlign w:val="bottom"/>
            <w:gridSpan w:val="2"/>
          </w:tcPr>
          <w:p>
            <w:pPr>
              <w:spacing w:after="0"/>
              <w:rPr>
                <w:rFonts w:ascii="Arial" w:cs="Arial" w:eastAsia="Arial" w:hAnsi="Arial"/>
                <w:sz w:val="22"/>
                <w:szCs w:val="22"/>
                <w:u w:val="single" w:color="auto"/>
                <w:color w:val="0000FF"/>
              </w:rPr>
            </w:pPr>
            <w:hyperlink w:anchor="page78">
              <w:r>
                <w:rPr>
                  <w:rFonts w:ascii="Arial" w:cs="Arial" w:eastAsia="Arial" w:hAnsi="Arial"/>
                  <w:sz w:val="22"/>
                  <w:szCs w:val="22"/>
                  <w:u w:val="single" w:color="auto"/>
                  <w:color w:val="0000FF"/>
                </w:rPr>
                <w:t>7.05 Incompetence</w:t>
              </w:r>
            </w:hyperlink>
          </w:p>
        </w:tc>
        <w:tc>
          <w:tcPr>
            <w:tcW w:w="2580" w:type="dxa"/>
            <w:vAlign w:val="bottom"/>
          </w:tcPr>
          <w:p>
            <w:pPr>
              <w:ind w:left="2360"/>
              <w:spacing w:after="0"/>
              <w:rPr>
                <w:rFonts w:ascii="Arial" w:cs="Arial" w:eastAsia="Arial" w:hAnsi="Arial"/>
                <w:sz w:val="22"/>
                <w:szCs w:val="22"/>
                <w:u w:val="single" w:color="auto"/>
                <w:color w:val="auto"/>
                <w:w w:val="81"/>
              </w:rPr>
            </w:pPr>
            <w:hyperlink w:anchor="page78">
              <w:r>
                <w:rPr>
                  <w:rFonts w:ascii="Arial" w:cs="Arial" w:eastAsia="Arial" w:hAnsi="Arial"/>
                  <w:sz w:val="22"/>
                  <w:szCs w:val="22"/>
                  <w:u w:val="single" w:color="auto"/>
                  <w:color w:val="auto"/>
                  <w:w w:val="81"/>
                </w:rPr>
                <w:t>19</w:t>
              </w:r>
            </w:hyperlink>
          </w:p>
        </w:tc>
      </w:tr>
      <w:tr>
        <w:trPr>
          <w:trHeight w:val="311"/>
        </w:trPr>
        <w:tc>
          <w:tcPr>
            <w:tcW w:w="400" w:type="dxa"/>
            <w:vAlign w:val="bottom"/>
          </w:tcPr>
          <w:p>
            <w:pPr>
              <w:spacing w:after="0"/>
              <w:rPr>
                <w:rFonts w:ascii="Arial" w:cs="Arial" w:eastAsia="Arial" w:hAnsi="Arial"/>
                <w:sz w:val="22"/>
                <w:szCs w:val="22"/>
                <w:u w:val="single" w:color="auto"/>
                <w:color w:val="0000FF"/>
                <w:w w:val="88"/>
              </w:rPr>
            </w:pPr>
            <w:hyperlink w:anchor="page78">
              <w:r>
                <w:rPr>
                  <w:rFonts w:ascii="Arial" w:cs="Arial" w:eastAsia="Arial" w:hAnsi="Arial"/>
                  <w:sz w:val="22"/>
                  <w:szCs w:val="22"/>
                  <w:u w:val="single" w:color="auto"/>
                  <w:color w:val="0000FF"/>
                  <w:w w:val="88"/>
                </w:rPr>
                <w:t>7.06</w:t>
              </w:r>
            </w:hyperlink>
          </w:p>
        </w:tc>
        <w:tc>
          <w:tcPr>
            <w:tcW w:w="7540" w:type="dxa"/>
            <w:vAlign w:val="bottom"/>
          </w:tcPr>
          <w:p>
            <w:pPr>
              <w:ind w:left="40"/>
              <w:spacing w:after="0"/>
              <w:rPr>
                <w:rFonts w:ascii="Arial" w:cs="Arial" w:eastAsia="Arial" w:hAnsi="Arial"/>
                <w:sz w:val="22"/>
                <w:szCs w:val="22"/>
                <w:u w:val="single" w:color="auto"/>
                <w:color w:val="0000FF"/>
              </w:rPr>
            </w:pPr>
            <w:hyperlink w:anchor="page78">
              <w:r>
                <w:rPr>
                  <w:rFonts w:ascii="Arial" w:cs="Arial" w:eastAsia="Arial" w:hAnsi="Arial"/>
                  <w:sz w:val="22"/>
                  <w:szCs w:val="22"/>
                  <w:u w:val="single" w:color="auto"/>
                  <w:color w:val="0000FF"/>
                </w:rPr>
                <w:t>Inability to Locate Participants and Beneficiaries</w:t>
              </w:r>
            </w:hyperlink>
          </w:p>
        </w:tc>
        <w:tc>
          <w:tcPr>
            <w:tcW w:w="2580" w:type="dxa"/>
            <w:vAlign w:val="bottom"/>
          </w:tcPr>
          <w:p>
            <w:pPr>
              <w:ind w:left="2360"/>
              <w:spacing w:after="0"/>
              <w:rPr>
                <w:rFonts w:ascii="Arial" w:cs="Arial" w:eastAsia="Arial" w:hAnsi="Arial"/>
                <w:sz w:val="22"/>
                <w:szCs w:val="22"/>
                <w:u w:val="single" w:color="auto"/>
                <w:color w:val="auto"/>
                <w:w w:val="81"/>
              </w:rPr>
            </w:pPr>
            <w:hyperlink w:anchor="page78">
              <w:r>
                <w:rPr>
                  <w:rFonts w:ascii="Arial" w:cs="Arial" w:eastAsia="Arial" w:hAnsi="Arial"/>
                  <w:sz w:val="22"/>
                  <w:szCs w:val="22"/>
                  <w:u w:val="single" w:color="auto"/>
                  <w:color w:val="auto"/>
                  <w:w w:val="81"/>
                </w:rPr>
                <w:t>20</w:t>
              </w:r>
            </w:hyperlink>
          </w:p>
        </w:tc>
      </w:tr>
      <w:tr>
        <w:trPr>
          <w:trHeight w:val="310"/>
        </w:trPr>
        <w:tc>
          <w:tcPr>
            <w:tcW w:w="400" w:type="dxa"/>
            <w:vAlign w:val="bottom"/>
          </w:tcPr>
          <w:p>
            <w:pPr>
              <w:spacing w:after="0"/>
              <w:rPr>
                <w:rFonts w:ascii="Arial" w:cs="Arial" w:eastAsia="Arial" w:hAnsi="Arial"/>
                <w:sz w:val="22"/>
                <w:szCs w:val="22"/>
                <w:u w:val="single" w:color="auto"/>
                <w:color w:val="0000FF"/>
                <w:w w:val="88"/>
              </w:rPr>
            </w:pPr>
            <w:hyperlink w:anchor="page78">
              <w:r>
                <w:rPr>
                  <w:rFonts w:ascii="Arial" w:cs="Arial" w:eastAsia="Arial" w:hAnsi="Arial"/>
                  <w:sz w:val="22"/>
                  <w:szCs w:val="22"/>
                  <w:u w:val="single" w:color="auto"/>
                  <w:color w:val="0000FF"/>
                  <w:w w:val="88"/>
                </w:rPr>
                <w:t>7.07</w:t>
              </w:r>
            </w:hyperlink>
          </w:p>
        </w:tc>
        <w:tc>
          <w:tcPr>
            <w:tcW w:w="7540" w:type="dxa"/>
            <w:vAlign w:val="bottom"/>
          </w:tcPr>
          <w:p>
            <w:pPr>
              <w:ind w:left="40"/>
              <w:spacing w:after="0"/>
              <w:rPr>
                <w:rFonts w:ascii="Arial" w:cs="Arial" w:eastAsia="Arial" w:hAnsi="Arial"/>
                <w:sz w:val="22"/>
                <w:szCs w:val="22"/>
                <w:u w:val="single" w:color="auto"/>
                <w:color w:val="0000FF"/>
              </w:rPr>
            </w:pPr>
            <w:hyperlink w:anchor="page78">
              <w:r>
                <w:rPr>
                  <w:rFonts w:ascii="Arial" w:cs="Arial" w:eastAsia="Arial" w:hAnsi="Arial"/>
                  <w:sz w:val="22"/>
                  <w:szCs w:val="22"/>
                  <w:u w:val="single" w:color="auto"/>
                  <w:color w:val="0000FF"/>
                </w:rPr>
                <w:t>Successors</w:t>
              </w:r>
            </w:hyperlink>
          </w:p>
        </w:tc>
        <w:tc>
          <w:tcPr>
            <w:tcW w:w="2580" w:type="dxa"/>
            <w:vAlign w:val="bottom"/>
          </w:tcPr>
          <w:p>
            <w:pPr>
              <w:ind w:left="2360"/>
              <w:spacing w:after="0"/>
              <w:rPr>
                <w:rFonts w:ascii="Arial" w:cs="Arial" w:eastAsia="Arial" w:hAnsi="Arial"/>
                <w:sz w:val="22"/>
                <w:szCs w:val="22"/>
                <w:u w:val="single" w:color="auto"/>
                <w:color w:val="auto"/>
                <w:w w:val="81"/>
              </w:rPr>
            </w:pPr>
            <w:hyperlink w:anchor="page78">
              <w:r>
                <w:rPr>
                  <w:rFonts w:ascii="Arial" w:cs="Arial" w:eastAsia="Arial" w:hAnsi="Arial"/>
                  <w:sz w:val="22"/>
                  <w:szCs w:val="22"/>
                  <w:u w:val="single" w:color="auto"/>
                  <w:color w:val="auto"/>
                  <w:w w:val="81"/>
                </w:rPr>
                <w:t>20</w:t>
              </w:r>
            </w:hyperlink>
          </w:p>
        </w:tc>
      </w:tr>
      <w:tr>
        <w:trPr>
          <w:trHeight w:val="310"/>
        </w:trPr>
        <w:tc>
          <w:tcPr>
            <w:tcW w:w="7940" w:type="dxa"/>
            <w:vAlign w:val="bottom"/>
            <w:gridSpan w:val="2"/>
          </w:tcPr>
          <w:p>
            <w:pPr>
              <w:spacing w:after="0"/>
              <w:rPr>
                <w:rFonts w:ascii="Arial" w:cs="Arial" w:eastAsia="Arial" w:hAnsi="Arial"/>
                <w:sz w:val="22"/>
                <w:szCs w:val="22"/>
                <w:u w:val="single" w:color="auto"/>
                <w:color w:val="0000FF"/>
              </w:rPr>
            </w:pPr>
            <w:hyperlink w:anchor="page78">
              <w:r>
                <w:rPr>
                  <w:rFonts w:ascii="Arial" w:cs="Arial" w:eastAsia="Arial" w:hAnsi="Arial"/>
                  <w:sz w:val="22"/>
                  <w:szCs w:val="22"/>
                  <w:u w:val="single" w:color="auto"/>
                  <w:color w:val="0000FF"/>
                </w:rPr>
                <w:t>7.08 Usage</w:t>
              </w:r>
            </w:hyperlink>
          </w:p>
        </w:tc>
        <w:tc>
          <w:tcPr>
            <w:tcW w:w="2580" w:type="dxa"/>
            <w:vAlign w:val="bottom"/>
          </w:tcPr>
          <w:p>
            <w:pPr>
              <w:ind w:left="2360"/>
              <w:spacing w:after="0"/>
              <w:rPr>
                <w:rFonts w:ascii="Arial" w:cs="Arial" w:eastAsia="Arial" w:hAnsi="Arial"/>
                <w:sz w:val="22"/>
                <w:szCs w:val="22"/>
                <w:u w:val="single" w:color="auto"/>
                <w:color w:val="auto"/>
                <w:w w:val="81"/>
              </w:rPr>
            </w:pPr>
            <w:hyperlink w:anchor="page78">
              <w:r>
                <w:rPr>
                  <w:rFonts w:ascii="Arial" w:cs="Arial" w:eastAsia="Arial" w:hAnsi="Arial"/>
                  <w:sz w:val="22"/>
                  <w:szCs w:val="22"/>
                  <w:u w:val="single" w:color="auto"/>
                  <w:color w:val="auto"/>
                  <w:w w:val="81"/>
                </w:rPr>
                <w:t>20</w:t>
              </w:r>
            </w:hyperlink>
          </w:p>
        </w:tc>
      </w:tr>
      <w:tr>
        <w:trPr>
          <w:trHeight w:val="311"/>
        </w:trPr>
        <w:tc>
          <w:tcPr>
            <w:tcW w:w="400" w:type="dxa"/>
            <w:vAlign w:val="bottom"/>
          </w:tcPr>
          <w:p>
            <w:pPr>
              <w:spacing w:after="0"/>
              <w:rPr>
                <w:rFonts w:ascii="Arial" w:cs="Arial" w:eastAsia="Arial" w:hAnsi="Arial"/>
                <w:sz w:val="22"/>
                <w:szCs w:val="22"/>
                <w:u w:val="single" w:color="auto"/>
                <w:color w:val="0000FF"/>
                <w:w w:val="88"/>
              </w:rPr>
            </w:pPr>
            <w:hyperlink w:anchor="page78">
              <w:r>
                <w:rPr>
                  <w:rFonts w:ascii="Arial" w:cs="Arial" w:eastAsia="Arial" w:hAnsi="Arial"/>
                  <w:sz w:val="22"/>
                  <w:szCs w:val="22"/>
                  <w:u w:val="single" w:color="auto"/>
                  <w:color w:val="0000FF"/>
                  <w:w w:val="88"/>
                </w:rPr>
                <w:t>7.09</w:t>
              </w:r>
            </w:hyperlink>
          </w:p>
        </w:tc>
        <w:tc>
          <w:tcPr>
            <w:tcW w:w="7540" w:type="dxa"/>
            <w:vAlign w:val="bottom"/>
          </w:tcPr>
          <w:p>
            <w:pPr>
              <w:ind w:left="40"/>
              <w:spacing w:after="0"/>
              <w:rPr>
                <w:rFonts w:ascii="Arial" w:cs="Arial" w:eastAsia="Arial" w:hAnsi="Arial"/>
                <w:sz w:val="22"/>
                <w:szCs w:val="22"/>
                <w:u w:val="single" w:color="auto"/>
                <w:color w:val="0000FF"/>
              </w:rPr>
            </w:pPr>
            <w:hyperlink w:anchor="page78">
              <w:r>
                <w:rPr>
                  <w:rFonts w:ascii="Arial" w:cs="Arial" w:eastAsia="Arial" w:hAnsi="Arial"/>
                  <w:sz w:val="22"/>
                  <w:szCs w:val="22"/>
                  <w:u w:val="single" w:color="auto"/>
                  <w:color w:val="0000FF"/>
                </w:rPr>
                <w:t>Severability</w:t>
              </w:r>
            </w:hyperlink>
          </w:p>
        </w:tc>
        <w:tc>
          <w:tcPr>
            <w:tcW w:w="2580" w:type="dxa"/>
            <w:vAlign w:val="bottom"/>
          </w:tcPr>
          <w:p>
            <w:pPr>
              <w:ind w:left="2360"/>
              <w:spacing w:after="0"/>
              <w:rPr>
                <w:rFonts w:ascii="Arial" w:cs="Arial" w:eastAsia="Arial" w:hAnsi="Arial"/>
                <w:sz w:val="22"/>
                <w:szCs w:val="22"/>
                <w:u w:val="single" w:color="auto"/>
                <w:color w:val="auto"/>
                <w:w w:val="81"/>
              </w:rPr>
            </w:pPr>
            <w:hyperlink w:anchor="page78">
              <w:r>
                <w:rPr>
                  <w:rFonts w:ascii="Arial" w:cs="Arial" w:eastAsia="Arial" w:hAnsi="Arial"/>
                  <w:sz w:val="22"/>
                  <w:szCs w:val="22"/>
                  <w:u w:val="single" w:color="auto"/>
                  <w:color w:val="auto"/>
                  <w:w w:val="81"/>
                </w:rPr>
                <w:t>20</w:t>
              </w:r>
            </w:hyperlink>
          </w:p>
        </w:tc>
      </w:tr>
      <w:tr>
        <w:trPr>
          <w:trHeight w:val="310"/>
        </w:trPr>
        <w:tc>
          <w:tcPr>
            <w:tcW w:w="7940" w:type="dxa"/>
            <w:vAlign w:val="bottom"/>
            <w:gridSpan w:val="2"/>
          </w:tcPr>
          <w:p>
            <w:pPr>
              <w:spacing w:after="0"/>
              <w:rPr>
                <w:rFonts w:ascii="Arial" w:cs="Arial" w:eastAsia="Arial" w:hAnsi="Arial"/>
                <w:sz w:val="22"/>
                <w:szCs w:val="22"/>
                <w:u w:val="single" w:color="auto"/>
                <w:color w:val="0000FF"/>
              </w:rPr>
            </w:pPr>
            <w:hyperlink w:anchor="page78">
              <w:r>
                <w:rPr>
                  <w:rFonts w:ascii="Arial" w:cs="Arial" w:eastAsia="Arial" w:hAnsi="Arial"/>
                  <w:sz w:val="22"/>
                  <w:szCs w:val="22"/>
                  <w:u w:val="single" w:color="auto"/>
                  <w:color w:val="0000FF"/>
                </w:rPr>
                <w:t>7.10 Share Ownership Requirements</w:t>
              </w:r>
            </w:hyperlink>
          </w:p>
        </w:tc>
        <w:tc>
          <w:tcPr>
            <w:tcW w:w="2580" w:type="dxa"/>
            <w:vAlign w:val="bottom"/>
          </w:tcPr>
          <w:p>
            <w:pPr>
              <w:ind w:left="2360"/>
              <w:spacing w:after="0"/>
              <w:rPr>
                <w:rFonts w:ascii="Arial" w:cs="Arial" w:eastAsia="Arial" w:hAnsi="Arial"/>
                <w:sz w:val="22"/>
                <w:szCs w:val="22"/>
                <w:u w:val="single" w:color="auto"/>
                <w:color w:val="auto"/>
                <w:w w:val="81"/>
              </w:rPr>
            </w:pPr>
            <w:hyperlink w:anchor="page78">
              <w:r>
                <w:rPr>
                  <w:rFonts w:ascii="Arial" w:cs="Arial" w:eastAsia="Arial" w:hAnsi="Arial"/>
                  <w:sz w:val="22"/>
                  <w:szCs w:val="22"/>
                  <w:u w:val="single" w:color="auto"/>
                  <w:color w:val="auto"/>
                  <w:w w:val="81"/>
                </w:rPr>
                <w:t>21</w:t>
              </w:r>
            </w:hyperlink>
          </w:p>
        </w:tc>
      </w:tr>
      <w:tr>
        <w:trPr>
          <w:trHeight w:val="310"/>
        </w:trPr>
        <w:tc>
          <w:tcPr>
            <w:tcW w:w="7940" w:type="dxa"/>
            <w:vAlign w:val="bottom"/>
            <w:gridSpan w:val="2"/>
          </w:tcPr>
          <w:p>
            <w:pPr>
              <w:spacing w:after="0"/>
              <w:rPr>
                <w:rFonts w:ascii="Arial" w:cs="Arial" w:eastAsia="Arial" w:hAnsi="Arial"/>
                <w:sz w:val="22"/>
                <w:szCs w:val="22"/>
                <w:u w:val="single" w:color="auto"/>
                <w:color w:val="0000FF"/>
              </w:rPr>
            </w:pPr>
            <w:hyperlink w:anchor="page78">
              <w:r>
                <w:rPr>
                  <w:rFonts w:ascii="Arial" w:cs="Arial" w:eastAsia="Arial" w:hAnsi="Arial"/>
                  <w:sz w:val="22"/>
                  <w:szCs w:val="22"/>
                  <w:u w:val="single" w:color="auto"/>
                  <w:color w:val="0000FF"/>
                </w:rPr>
                <w:t>7.11 Governing Law</w:t>
              </w:r>
            </w:hyperlink>
          </w:p>
        </w:tc>
        <w:tc>
          <w:tcPr>
            <w:tcW w:w="2580" w:type="dxa"/>
            <w:vAlign w:val="bottom"/>
          </w:tcPr>
          <w:p>
            <w:pPr>
              <w:ind w:left="2360"/>
              <w:spacing w:after="0"/>
              <w:rPr>
                <w:rFonts w:ascii="Arial" w:cs="Arial" w:eastAsia="Arial" w:hAnsi="Arial"/>
                <w:sz w:val="22"/>
                <w:szCs w:val="22"/>
                <w:u w:val="single" w:color="auto"/>
                <w:color w:val="auto"/>
                <w:w w:val="81"/>
              </w:rPr>
            </w:pPr>
            <w:hyperlink w:anchor="page78">
              <w:r>
                <w:rPr>
                  <w:rFonts w:ascii="Arial" w:cs="Arial" w:eastAsia="Arial" w:hAnsi="Arial"/>
                  <w:sz w:val="22"/>
                  <w:szCs w:val="22"/>
                  <w:u w:val="single" w:color="auto"/>
                  <w:color w:val="auto"/>
                  <w:w w:val="81"/>
                </w:rPr>
                <w:t>21</w:t>
              </w:r>
            </w:hyperlink>
          </w:p>
        </w:tc>
      </w:tr>
    </w:tbl>
    <w:p>
      <w:pPr>
        <w:spacing w:after="0" w:line="200" w:lineRule="exact"/>
        <w:rPr>
          <w:sz w:val="20"/>
          <w:szCs w:val="20"/>
          <w:color w:val="auto"/>
        </w:rPr>
      </w:pPr>
    </w:p>
    <w:p>
      <w:pPr>
        <w:sectPr>
          <w:pgSz w:w="11900" w:h="16838" w:orient="portrait"/>
          <w:cols w:equalWidth="0" w:num="1">
            <w:col w:w="10520"/>
          </w:cols>
          <w:pgMar w:left="340" w:top="144" w:right="1039" w:bottom="74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520"/>
          </w:cols>
          <w:pgMar w:left="340" w:top="144" w:right="1039" w:bottom="745" w:gutter="0" w:footer="0" w:header="0"/>
          <w:type w:val="continuous"/>
        </w:sectPr>
      </w:pPr>
    </w:p>
    <w:bookmarkStart w:id="75" w:name="page76"/>
    <w:bookmarkEnd w:id="75"/>
    <w:p>
      <w:pPr>
        <w:jc w:val="center"/>
        <w:ind w:right="220"/>
        <w:spacing w:after="0"/>
        <w:rPr>
          <w:sz w:val="20"/>
          <w:szCs w:val="20"/>
          <w:color w:val="auto"/>
        </w:rPr>
      </w:pPr>
      <w:r>
        <w:rPr>
          <w:rFonts w:ascii="Arial" w:cs="Arial" w:eastAsia="Arial" w:hAnsi="Arial"/>
          <w:sz w:val="14"/>
          <w:szCs w:val="14"/>
          <w:color w:val="auto"/>
        </w:rPr>
        <w:t>Internal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660" w:hanging="1619"/>
        <w:spacing w:after="0" w:line="263" w:lineRule="auto"/>
        <w:rPr>
          <w:sz w:val="20"/>
          <w:szCs w:val="20"/>
          <w:color w:val="auto"/>
        </w:rPr>
      </w:pPr>
      <w:r>
        <w:rPr>
          <w:rFonts w:ascii="Arial" w:cs="Arial" w:eastAsia="Arial" w:hAnsi="Arial"/>
          <w:sz w:val="22"/>
          <w:szCs w:val="22"/>
          <w:color w:val="auto"/>
        </w:rPr>
        <w:t>APPENDIX A United Technologies Corporation Board of Directors Deferred Stock Unit Plan as in effect on October 3, 2004 (the “Prior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880"/>
          </w:cols>
          <w:pgMar w:left="620" w:top="144" w:right="399" w:bottom="1440" w:gutter="0" w:footer="0" w:header="0"/>
        </w:sectPr>
      </w:pPr>
    </w:p>
    <w:bookmarkStart w:id="76" w:name="page77"/>
    <w:bookmarkEnd w:id="76"/>
    <w:p>
      <w:pPr>
        <w:jc w:val="right"/>
        <w:ind w:right="3959"/>
        <w:spacing w:after="0"/>
        <w:rPr>
          <w:sz w:val="20"/>
          <w:szCs w:val="20"/>
          <w:color w:val="auto"/>
        </w:rPr>
      </w:pPr>
      <w:r>
        <w:rPr>
          <w:rFonts w:ascii="Arial" w:cs="Arial" w:eastAsia="Arial" w:hAnsi="Arial"/>
          <w:sz w:val="14"/>
          <w:szCs w:val="14"/>
          <w:color w:val="auto"/>
        </w:rPr>
        <w:t>Internal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9839"/>
          </w:cols>
          <w:pgMar w:left="620" w:top="144" w:right="1440" w:bottom="1440" w:gutter="0" w:footer="0" w:header="0"/>
        </w:sectPr>
      </w:pPr>
    </w:p>
    <w:bookmarkStart w:id="77" w:name="page78"/>
    <w:bookmarkEnd w:id="77"/>
    <w:p>
      <w:pPr>
        <w:jc w:val="center"/>
        <w:ind w:right="-59"/>
        <w:spacing w:after="0"/>
        <w:rPr>
          <w:sz w:val="20"/>
          <w:szCs w:val="20"/>
          <w:color w:val="auto"/>
        </w:rPr>
      </w:pPr>
      <w:r>
        <w:rPr>
          <w:rFonts w:ascii="Arial" w:cs="Arial" w:eastAsia="Arial" w:hAnsi="Arial"/>
          <w:sz w:val="14"/>
          <w:szCs w:val="14"/>
          <w:color w:val="auto"/>
        </w:rPr>
        <w:t>Internal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140"/>
        <w:spacing w:after="0"/>
        <w:rPr>
          <w:sz w:val="20"/>
          <w:szCs w:val="20"/>
          <w:color w:val="auto"/>
        </w:rPr>
      </w:pPr>
      <w:r>
        <w:rPr>
          <w:rFonts w:ascii="Arial" w:cs="Arial" w:eastAsia="Arial" w:hAnsi="Arial"/>
          <w:sz w:val="22"/>
          <w:szCs w:val="22"/>
          <w:b w:val="1"/>
          <w:bCs w:val="1"/>
          <w:color w:val="010000"/>
        </w:rPr>
        <w:t>Article I.</w:t>
      </w:r>
      <w:r>
        <w:rPr>
          <w:rFonts w:ascii="Arial" w:cs="Arial" w:eastAsia="Arial" w:hAnsi="Arial"/>
          <w:sz w:val="22"/>
          <w:szCs w:val="22"/>
          <w:b w:val="1"/>
          <w:bCs w:val="1"/>
          <w:color w:val="000000"/>
        </w:rPr>
        <w:t>INTRODUCTION AND PURPOSE</w:t>
      </w:r>
    </w:p>
    <w:p>
      <w:pPr>
        <w:spacing w:after="0" w:line="355" w:lineRule="exact"/>
        <w:rPr>
          <w:sz w:val="20"/>
          <w:szCs w:val="20"/>
          <w:color w:val="auto"/>
        </w:rPr>
      </w:pPr>
    </w:p>
    <w:p>
      <w:pPr>
        <w:ind w:left="560" w:hanging="234"/>
        <w:spacing w:after="0"/>
        <w:tabs>
          <w:tab w:leader="none" w:pos="560" w:val="left"/>
        </w:tabs>
        <w:numPr>
          <w:ilvl w:val="0"/>
          <w:numId w:val="19"/>
        </w:numPr>
        <w:rPr>
          <w:rFonts w:ascii="Arial" w:cs="Arial" w:eastAsia="Arial" w:hAnsi="Arial"/>
          <w:sz w:val="22"/>
          <w:szCs w:val="22"/>
          <w:b w:val="1"/>
          <w:bCs w:val="1"/>
          <w:color w:val="010000"/>
        </w:rPr>
      </w:pPr>
      <w:r>
        <w:rPr>
          <w:rFonts w:ascii="Arial" w:cs="Arial" w:eastAsia="Arial" w:hAnsi="Arial"/>
          <w:sz w:val="22"/>
          <w:szCs w:val="22"/>
          <w:b w:val="1"/>
          <w:bCs w:val="1"/>
          <w:color w:val="auto"/>
        </w:rPr>
        <w:t>Purpose of Plan</w:t>
      </w:r>
    </w:p>
    <w:p>
      <w:pPr>
        <w:spacing w:after="0" w:line="118" w:lineRule="exact"/>
        <w:rPr>
          <w:sz w:val="20"/>
          <w:szCs w:val="20"/>
          <w:color w:val="auto"/>
        </w:rPr>
      </w:pPr>
    </w:p>
    <w:p>
      <w:pPr>
        <w:ind w:right="60" w:firstLine="648"/>
        <w:spacing w:after="0" w:line="350" w:lineRule="auto"/>
        <w:rPr>
          <w:sz w:val="20"/>
          <w:szCs w:val="20"/>
          <w:color w:val="auto"/>
        </w:rPr>
      </w:pPr>
      <w:r>
        <w:rPr>
          <w:rFonts w:ascii="Arial" w:cs="Arial" w:eastAsia="Arial" w:hAnsi="Arial"/>
          <w:sz w:val="22"/>
          <w:szCs w:val="22"/>
          <w:color w:val="auto"/>
        </w:rPr>
        <w:t>The United Technologies Corporation Board of Directors Deferred Stock Unit Plan (the “Plan”) has been established to provide an arrangement for non-employee directors to receive an annual Deferred Stock Unit Award and a New Director Restricted Stock Unit Award and to defer their Annual Retainer in the form of deferred stock units equal in value to shares of the Corporation’s common stock for the purpose of aligning the interests of non-employee directors with those of the Corporation’s shareowners.</w:t>
      </w:r>
    </w:p>
    <w:p>
      <w:pPr>
        <w:spacing w:after="0" w:line="336" w:lineRule="exact"/>
        <w:rPr>
          <w:sz w:val="20"/>
          <w:szCs w:val="20"/>
          <w:color w:val="auto"/>
        </w:rPr>
      </w:pPr>
    </w:p>
    <w:p>
      <w:pPr>
        <w:ind w:left="560" w:hanging="294"/>
        <w:spacing w:after="0"/>
        <w:tabs>
          <w:tab w:leader="none" w:pos="560" w:val="left"/>
        </w:tabs>
        <w:numPr>
          <w:ilvl w:val="0"/>
          <w:numId w:val="20"/>
        </w:numPr>
        <w:rPr>
          <w:rFonts w:ascii="Arial" w:cs="Arial" w:eastAsia="Arial" w:hAnsi="Arial"/>
          <w:sz w:val="22"/>
          <w:szCs w:val="22"/>
          <w:b w:val="1"/>
          <w:bCs w:val="1"/>
          <w:color w:val="010000"/>
        </w:rPr>
      </w:pPr>
      <w:r>
        <w:rPr>
          <w:rFonts w:ascii="Arial" w:cs="Arial" w:eastAsia="Arial" w:hAnsi="Arial"/>
          <w:sz w:val="22"/>
          <w:szCs w:val="22"/>
          <w:b w:val="1"/>
          <w:bCs w:val="1"/>
          <w:color w:val="auto"/>
        </w:rPr>
        <w:t>Effective Date of Plan and Amendments</w:t>
      </w:r>
    </w:p>
    <w:p>
      <w:pPr>
        <w:spacing w:after="0" w:line="117" w:lineRule="exact"/>
        <w:rPr>
          <w:rFonts w:ascii="Arial" w:cs="Arial" w:eastAsia="Arial" w:hAnsi="Arial"/>
          <w:sz w:val="22"/>
          <w:szCs w:val="22"/>
          <w:b w:val="1"/>
          <w:bCs w:val="1"/>
          <w:color w:val="010000"/>
        </w:rPr>
      </w:pPr>
    </w:p>
    <w:p>
      <w:pPr>
        <w:ind w:firstLine="656"/>
        <w:spacing w:after="0" w:line="415" w:lineRule="auto"/>
        <w:tabs>
          <w:tab w:leader="none" w:pos="942" w:val="left"/>
        </w:tabs>
        <w:numPr>
          <w:ilvl w:val="1"/>
          <w:numId w:val="20"/>
        </w:numPr>
        <w:rPr>
          <w:rFonts w:ascii="Arial" w:cs="Arial" w:eastAsia="Arial" w:hAnsi="Arial"/>
          <w:sz w:val="19"/>
          <w:szCs w:val="19"/>
          <w:color w:val="auto"/>
        </w:rPr>
      </w:pPr>
      <w:r>
        <w:rPr>
          <w:rFonts w:ascii="Arial" w:cs="Arial" w:eastAsia="Arial" w:hAnsi="Arial"/>
          <w:sz w:val="19"/>
          <w:szCs w:val="19"/>
          <w:color w:val="auto"/>
        </w:rPr>
        <w:t>The Plan as originally adopted on January 1, 1996 was amended and restated effective January 1, 2005 for the purpose of complying with Section 409A of the Internal Revenue Code with respect to deferrals that were earned or vested after December 31, 2004. Amounts that were earned or vested (within the meaning of Section 409A) prior to January 1, 2005, and any subsequent increases in these amounts that are permitted to be treated as grandfathered benefits under Section 409A, are generally subject to and shall continue to be governed by the terms of the Prior Plan set forth in Appendix A.</w:t>
      </w:r>
    </w:p>
    <w:p>
      <w:pPr>
        <w:spacing w:after="0" w:line="176" w:lineRule="exact"/>
        <w:rPr>
          <w:rFonts w:ascii="Arial" w:cs="Arial" w:eastAsia="Arial" w:hAnsi="Arial"/>
          <w:sz w:val="19"/>
          <w:szCs w:val="19"/>
          <w:color w:val="auto"/>
        </w:rPr>
      </w:pPr>
    </w:p>
    <w:p>
      <w:pPr>
        <w:jc w:val="both"/>
        <w:ind w:right="80" w:firstLine="656"/>
        <w:spacing w:after="0" w:line="352" w:lineRule="auto"/>
        <w:tabs>
          <w:tab w:leader="none" w:pos="954" w:val="left"/>
        </w:tabs>
        <w:numPr>
          <w:ilvl w:val="1"/>
          <w:numId w:val="20"/>
        </w:numPr>
        <w:rPr>
          <w:rFonts w:ascii="Arial" w:cs="Arial" w:eastAsia="Arial" w:hAnsi="Arial"/>
          <w:sz w:val="22"/>
          <w:szCs w:val="22"/>
          <w:color w:val="auto"/>
        </w:rPr>
      </w:pPr>
      <w:r>
        <w:rPr>
          <w:rFonts w:ascii="Arial" w:cs="Arial" w:eastAsia="Arial" w:hAnsi="Arial"/>
          <w:sz w:val="22"/>
          <w:szCs w:val="22"/>
          <w:color w:val="auto"/>
        </w:rPr>
        <w:t>The Plan was amended and restated in 2010 for the purposes of: (i) revising the retainer structure; (ii) establishing share ownership guidelines for non-employee directors; and (iii) providing that distributions from this Plan and the Prior Plan will be comprised of shares of UTC Common Stock rather than cash. Changes effected by this amendment and restatement were generally effective as of October 13, 2010.</w:t>
      </w:r>
    </w:p>
    <w:p>
      <w:pPr>
        <w:spacing w:after="0" w:line="216" w:lineRule="exact"/>
        <w:rPr>
          <w:rFonts w:ascii="Arial" w:cs="Arial" w:eastAsia="Arial" w:hAnsi="Arial"/>
          <w:sz w:val="22"/>
          <w:szCs w:val="22"/>
          <w:color w:val="auto"/>
        </w:rPr>
      </w:pPr>
    </w:p>
    <w:p>
      <w:pPr>
        <w:ind w:right="400" w:firstLine="656"/>
        <w:spacing w:after="0" w:line="366" w:lineRule="auto"/>
        <w:tabs>
          <w:tab w:leader="none" w:pos="942" w:val="left"/>
        </w:tabs>
        <w:numPr>
          <w:ilvl w:val="1"/>
          <w:numId w:val="20"/>
        </w:numPr>
        <w:rPr>
          <w:rFonts w:ascii="Arial" w:cs="Arial" w:eastAsia="Arial" w:hAnsi="Arial"/>
          <w:sz w:val="22"/>
          <w:szCs w:val="22"/>
          <w:color w:val="auto"/>
        </w:rPr>
      </w:pPr>
      <w:r>
        <w:rPr>
          <w:rFonts w:ascii="Arial" w:cs="Arial" w:eastAsia="Arial" w:hAnsi="Arial"/>
          <w:sz w:val="22"/>
          <w:szCs w:val="22"/>
          <w:color w:val="auto"/>
        </w:rPr>
        <w:t>The Plan was amended effective February 1, 2013, for the purpose of revising the retainer fee and annual deferred stock unit award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1400" w:val="left"/>
        </w:tabs>
        <w:rPr>
          <w:sz w:val="20"/>
          <w:szCs w:val="20"/>
          <w:color w:val="auto"/>
        </w:rPr>
      </w:pPr>
      <w:r>
        <w:rPr>
          <w:rFonts w:ascii="Arial" w:cs="Arial" w:eastAsia="Arial" w:hAnsi="Arial"/>
          <w:sz w:val="14"/>
          <w:szCs w:val="14"/>
          <w:color w:val="auto"/>
        </w:rPr>
        <w:t>UTCLGL-159530 v8</w:t>
      </w:r>
      <w:r>
        <w:rPr>
          <w:sz w:val="20"/>
          <w:szCs w:val="20"/>
          <w:color w:val="auto"/>
        </w:rPr>
        <w:tab/>
      </w:r>
      <w:r>
        <w:rPr>
          <w:rFonts w:ascii="Arial" w:cs="Arial" w:eastAsia="Arial" w:hAnsi="Arial"/>
          <w:sz w:val="17"/>
          <w:szCs w:val="17"/>
          <w:color w:val="auto"/>
        </w:rPr>
        <w:t>1</w:t>
      </w:r>
    </w:p>
    <w:p>
      <w:pPr>
        <w:sectPr>
          <w:pgSz w:w="11900" w:h="16838" w:orient="portrait"/>
          <w:cols w:equalWidth="0" w:num="1">
            <w:col w:w="11200"/>
          </w:cols>
          <w:pgMar w:left="320" w:top="144" w:right="379" w:bottom="1440" w:gutter="0" w:footer="0" w:header="0"/>
        </w:sectPr>
      </w:pPr>
    </w:p>
    <w:bookmarkStart w:id="78" w:name="page79"/>
    <w:bookmarkEnd w:id="78"/>
    <w:p>
      <w:pPr>
        <w:jc w:val="center"/>
        <w:ind w:right="-59"/>
        <w:spacing w:after="0"/>
        <w:rPr>
          <w:sz w:val="20"/>
          <w:szCs w:val="20"/>
          <w:color w:val="auto"/>
        </w:rPr>
      </w:pPr>
      <w:r>
        <w:rPr>
          <w:rFonts w:ascii="Arial" w:cs="Arial" w:eastAsia="Arial" w:hAnsi="Arial"/>
          <w:sz w:val="14"/>
          <w:szCs w:val="14"/>
          <w:color w:val="auto"/>
        </w:rPr>
        <w:t>Internal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right="340" w:firstLine="656"/>
        <w:spacing w:after="0" w:line="378" w:lineRule="auto"/>
        <w:tabs>
          <w:tab w:leader="none" w:pos="954" w:val="left"/>
        </w:tabs>
        <w:numPr>
          <w:ilvl w:val="0"/>
          <w:numId w:val="21"/>
        </w:numPr>
        <w:rPr>
          <w:rFonts w:ascii="Arial" w:cs="Arial" w:eastAsia="Arial" w:hAnsi="Arial"/>
          <w:sz w:val="21"/>
          <w:szCs w:val="21"/>
          <w:color w:val="auto"/>
        </w:rPr>
      </w:pPr>
      <w:r>
        <w:rPr>
          <w:rFonts w:ascii="Arial" w:cs="Arial" w:eastAsia="Arial" w:hAnsi="Arial"/>
          <w:sz w:val="21"/>
          <w:szCs w:val="21"/>
          <w:color w:val="auto"/>
        </w:rPr>
        <w:t>The Plan was amended and restated for the purposes of: (i) revising the retainer fee and annual deferred stock unit award amounts as integrated into this Plan effective April 27, 2015; and (ii) establishing a retainer fee and deferred stock unit award for the position of non-executive Chairman of the Board effective November 23, 2014.</w:t>
      </w:r>
    </w:p>
    <w:p>
      <w:pPr>
        <w:spacing w:after="0" w:line="196" w:lineRule="exact"/>
        <w:rPr>
          <w:sz w:val="20"/>
          <w:szCs w:val="20"/>
          <w:color w:val="auto"/>
        </w:rPr>
      </w:pPr>
    </w:p>
    <w:p>
      <w:pPr>
        <w:ind w:firstLine="656"/>
        <w:spacing w:after="0" w:line="431" w:lineRule="auto"/>
        <w:tabs>
          <w:tab w:leader="none" w:pos="866"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Plan was amended and restated effective April 24, 2017 for the purposes of: (i) revising the retainer fee and annual deferred stock unit award amounts; (ii) establishing that non-employee directors serving in multiple leadership roles would receive the additional awards specified for each role; and (iii) certain other changes related to the administration of the Plan.</w:t>
      </w:r>
    </w:p>
    <w:p>
      <w:pPr>
        <w:spacing w:after="0" w:line="159" w:lineRule="exact"/>
        <w:rPr>
          <w:rFonts w:ascii="Arial" w:cs="Arial" w:eastAsia="Arial" w:hAnsi="Arial"/>
          <w:sz w:val="19"/>
          <w:szCs w:val="19"/>
          <w:color w:val="auto"/>
        </w:rPr>
      </w:pPr>
    </w:p>
    <w:p>
      <w:pPr>
        <w:ind w:right="380" w:firstLine="656"/>
        <w:spacing w:after="0" w:line="366" w:lineRule="auto"/>
        <w:tabs>
          <w:tab w:leader="none" w:pos="896"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Plan was amended and restated effective April 29, 2019 for the purpose of revising the retainer fee and annual deferred stock unit award amounts.</w:t>
      </w:r>
    </w:p>
    <w:p>
      <w:pPr>
        <w:spacing w:after="0" w:line="200" w:lineRule="exact"/>
        <w:rPr>
          <w:rFonts w:ascii="Arial" w:cs="Arial" w:eastAsia="Arial" w:hAnsi="Arial"/>
          <w:sz w:val="22"/>
          <w:szCs w:val="22"/>
          <w:color w:val="auto"/>
        </w:rPr>
      </w:pPr>
    </w:p>
    <w:p>
      <w:pPr>
        <w:ind w:right="20" w:firstLine="656"/>
        <w:spacing w:after="0" w:line="366" w:lineRule="auto"/>
        <w:tabs>
          <w:tab w:leader="none" w:pos="878"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Plan is hereby further amended and restated effective January 1, 2020, for the purpose of effecting certain changes related to certain pending Corporate transactions.</w:t>
      </w:r>
    </w:p>
    <w:p>
      <w:pPr>
        <w:spacing w:after="0" w:line="194" w:lineRule="exact"/>
        <w:rPr>
          <w:sz w:val="20"/>
          <w:szCs w:val="20"/>
          <w:color w:val="auto"/>
        </w:rPr>
      </w:pPr>
    </w:p>
    <w:p>
      <w:pPr>
        <w:ind w:left="560" w:hanging="354"/>
        <w:spacing w:after="0"/>
        <w:tabs>
          <w:tab w:leader="none" w:pos="560" w:val="left"/>
        </w:tabs>
        <w:numPr>
          <w:ilvl w:val="0"/>
          <w:numId w:val="23"/>
        </w:numPr>
        <w:rPr>
          <w:rFonts w:ascii="Arial" w:cs="Arial" w:eastAsia="Arial" w:hAnsi="Arial"/>
          <w:sz w:val="22"/>
          <w:szCs w:val="22"/>
          <w:b w:val="1"/>
          <w:bCs w:val="1"/>
          <w:color w:val="010000"/>
        </w:rPr>
      </w:pPr>
      <w:r>
        <w:rPr>
          <w:rFonts w:ascii="Arial" w:cs="Arial" w:eastAsia="Arial" w:hAnsi="Arial"/>
          <w:sz w:val="22"/>
          <w:szCs w:val="22"/>
          <w:b w:val="1"/>
          <w:bCs w:val="1"/>
          <w:color w:val="auto"/>
        </w:rPr>
        <w:t>Impact of Carrier and Otis Spin-off</w:t>
      </w:r>
    </w:p>
    <w:p>
      <w:pPr>
        <w:spacing w:after="0" w:line="118" w:lineRule="exact"/>
        <w:rPr>
          <w:sz w:val="20"/>
          <w:szCs w:val="20"/>
          <w:color w:val="auto"/>
        </w:rPr>
      </w:pPr>
    </w:p>
    <w:p>
      <w:pPr>
        <w:ind w:firstLine="648"/>
        <w:spacing w:after="0" w:line="406" w:lineRule="auto"/>
        <w:rPr>
          <w:sz w:val="20"/>
          <w:szCs w:val="20"/>
          <w:color w:val="auto"/>
        </w:rPr>
      </w:pPr>
      <w:r>
        <w:rPr>
          <w:rFonts w:ascii="Arial" w:cs="Arial" w:eastAsia="Arial" w:hAnsi="Arial"/>
          <w:sz w:val="19"/>
          <w:szCs w:val="19"/>
          <w:color w:val="auto"/>
        </w:rPr>
        <w:t>In the first half of 2020, United Technologies Corporation (“UTC”) separated into three independent companies, the Corporation, Carrier Global Corporation (“Carrier”), and Otis Worldwide Corporation (“Otis”), through spin-off transactions. The transaction by which Otis and Carrier Corporation will cease to be subsidiaries of UTC is referred to herein as the “Spin-off.” Pursuant to the terms of the Employee Matters Agreement between UTC, Carrier and Otis: (a) vested Deferred Stock Units will be converted upon the Spin-off into UTC, Otis and Carrier Deferred Stock Units; (b) vested restricted Deferred Stock Units granted under a New Director Restricted Stock Unit Award will be converted upon the Spin-off into UTC, Otis and Carrier Deferred Stock Units; and (c) unvested restricted Deferred Stock Units granted under a New Director Restricted Stock Unit Award will be converted into UTC Deferred Stock Units. UTC Deferred Stock Units credited to Participants under this Plan shall be distributed in shares of UTC Common Stock issued under the LTIP; however, Otis and Carrier Deferred Stock Units shall be distributed in cash. The settlement of Deferred Stock Units in Common Stock and cash, as applicable, and other adjustments described herein shall in no event: (i) increase the value of</w:t>
      </w:r>
    </w:p>
    <w:p>
      <w:pPr>
        <w:sectPr>
          <w:pgSz w:w="11900" w:h="16838" w:orient="portrait"/>
          <w:cols w:equalWidth="0" w:num="1">
            <w:col w:w="11180"/>
          </w:cols>
          <w:pgMar w:left="320" w:top="144" w:right="399" w:bottom="1440" w:gutter="0" w:footer="0" w:header="0"/>
        </w:sectPr>
      </w:pPr>
    </w:p>
    <w:bookmarkStart w:id="79" w:name="page80"/>
    <w:bookmarkEnd w:id="79"/>
    <w:p>
      <w:pPr>
        <w:jc w:val="center"/>
        <w:ind w:right="-59"/>
        <w:spacing w:after="0"/>
        <w:rPr>
          <w:sz w:val="20"/>
          <w:szCs w:val="20"/>
          <w:color w:val="auto"/>
        </w:rPr>
      </w:pPr>
      <w:r>
        <w:rPr>
          <w:rFonts w:ascii="Arial" w:cs="Arial" w:eastAsia="Arial" w:hAnsi="Arial"/>
          <w:sz w:val="14"/>
          <w:szCs w:val="14"/>
          <w:color w:val="auto"/>
        </w:rPr>
        <w:t>Internal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120"/>
        <w:spacing w:after="0" w:line="356" w:lineRule="auto"/>
        <w:rPr>
          <w:sz w:val="20"/>
          <w:szCs w:val="20"/>
          <w:color w:val="auto"/>
        </w:rPr>
      </w:pPr>
      <w:r>
        <w:rPr>
          <w:rFonts w:ascii="Arial" w:cs="Arial" w:eastAsia="Arial" w:hAnsi="Arial"/>
          <w:sz w:val="22"/>
          <w:szCs w:val="22"/>
          <w:color w:val="auto"/>
        </w:rPr>
        <w:t>any Participant’s Account; (ii) modify any Participant’s distribution election; or (iii) alter the procedures in effect under the Plan with respect to elections and distributions other than the substitution of cash for certain shares. The Plan shall be under no obligation to hold or issue shares of Otis or Carrier Common Stock.</w:t>
      </w:r>
    </w:p>
    <w:p>
      <w:pPr>
        <w:spacing w:after="0" w:line="205"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010000"/>
        </w:rPr>
        <w:t>Article II.</w:t>
      </w:r>
      <w:r>
        <w:rPr>
          <w:rFonts w:ascii="Arial" w:cs="Arial" w:eastAsia="Arial" w:hAnsi="Arial"/>
          <w:sz w:val="22"/>
          <w:szCs w:val="22"/>
          <w:b w:val="1"/>
          <w:bCs w:val="1"/>
          <w:color w:val="000000"/>
        </w:rPr>
        <w:t>DEFINITIONS</w:t>
      </w:r>
    </w:p>
    <w:p>
      <w:pPr>
        <w:spacing w:after="0" w:line="361" w:lineRule="exact"/>
        <w:rPr>
          <w:sz w:val="20"/>
          <w:szCs w:val="20"/>
          <w:color w:val="auto"/>
        </w:rPr>
      </w:pPr>
    </w:p>
    <w:p>
      <w:pPr>
        <w:ind w:right="120" w:firstLine="648"/>
        <w:spacing w:after="0" w:line="366" w:lineRule="auto"/>
        <w:rPr>
          <w:sz w:val="20"/>
          <w:szCs w:val="20"/>
          <w:color w:val="auto"/>
        </w:rPr>
      </w:pPr>
      <w:r>
        <w:rPr>
          <w:rFonts w:ascii="Arial" w:cs="Arial" w:eastAsia="Arial" w:hAnsi="Arial"/>
          <w:sz w:val="22"/>
          <w:szCs w:val="22"/>
          <w:color w:val="auto"/>
        </w:rPr>
        <w:t>Unless the context clearly indicates otherwise, the following terms, when used in capitalized form in the Plan, shall have the meanings set forth below:</w:t>
      </w:r>
    </w:p>
    <w:p>
      <w:pPr>
        <w:spacing w:after="0" w:line="200" w:lineRule="exact"/>
        <w:rPr>
          <w:sz w:val="20"/>
          <w:szCs w:val="20"/>
          <w:color w:val="auto"/>
        </w:rPr>
      </w:pPr>
    </w:p>
    <w:p>
      <w:pPr>
        <w:jc w:val="both"/>
        <w:ind w:right="80" w:firstLine="648"/>
        <w:spacing w:after="0" w:line="431" w:lineRule="auto"/>
        <w:rPr>
          <w:sz w:val="20"/>
          <w:szCs w:val="20"/>
          <w:color w:val="auto"/>
        </w:rPr>
      </w:pPr>
      <w:r>
        <w:rPr>
          <w:rFonts w:ascii="Arial" w:cs="Arial" w:eastAsia="Arial" w:hAnsi="Arial"/>
          <w:sz w:val="19"/>
          <w:szCs w:val="19"/>
          <w:b w:val="1"/>
          <w:bCs w:val="1"/>
          <w:i w:val="1"/>
          <w:iCs w:val="1"/>
          <w:color w:val="auto"/>
        </w:rPr>
        <w:t xml:space="preserve">Account </w:t>
      </w:r>
      <w:r>
        <w:rPr>
          <w:rFonts w:ascii="Arial" w:cs="Arial" w:eastAsia="Arial" w:hAnsi="Arial"/>
          <w:sz w:val="19"/>
          <w:szCs w:val="19"/>
          <w:color w:val="auto"/>
        </w:rPr>
        <w:t>means a bookkeeping account established for a Participant under</w:t>
      </w:r>
      <w:r>
        <w:rPr>
          <w:rFonts w:ascii="Arial" w:cs="Arial" w:eastAsia="Arial" w:hAnsi="Arial"/>
          <w:sz w:val="19"/>
          <w:szCs w:val="19"/>
          <w:b w:val="1"/>
          <w:bCs w:val="1"/>
          <w:i w:val="1"/>
          <w:iCs w:val="1"/>
          <w:color w:val="auto"/>
        </w:rPr>
        <w:t xml:space="preserve"> </w:t>
      </w:r>
      <w:r>
        <w:rPr>
          <w:rFonts w:ascii="Arial" w:cs="Arial" w:eastAsia="Arial" w:hAnsi="Arial"/>
          <w:sz w:val="19"/>
          <w:szCs w:val="19"/>
          <w:u w:val="single" w:color="auto"/>
          <w:color w:val="auto"/>
        </w:rPr>
        <w:t>Article IV</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that is credited with Deferred Stock</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Units, but excluding accounts under the Prior Plan. Accounts under the Prior Plan will be valued and administered separately in accordance with the terms and procedures in effect under the Prior Plan set forth in Appendix A.</w:t>
      </w:r>
    </w:p>
    <w:p>
      <w:pPr>
        <w:spacing w:after="0" w:line="159" w:lineRule="exact"/>
        <w:rPr>
          <w:sz w:val="20"/>
          <w:szCs w:val="20"/>
          <w:color w:val="auto"/>
        </w:rPr>
      </w:pPr>
    </w:p>
    <w:p>
      <w:pPr>
        <w:ind w:right="160" w:firstLine="648"/>
        <w:spacing w:after="0" w:line="366" w:lineRule="auto"/>
        <w:rPr>
          <w:sz w:val="20"/>
          <w:szCs w:val="20"/>
          <w:color w:val="auto"/>
        </w:rPr>
      </w:pPr>
      <w:r>
        <w:rPr>
          <w:rFonts w:ascii="Arial" w:cs="Arial" w:eastAsia="Arial" w:hAnsi="Arial"/>
          <w:sz w:val="22"/>
          <w:szCs w:val="22"/>
          <w:b w:val="1"/>
          <w:bCs w:val="1"/>
          <w:i w:val="1"/>
          <w:iCs w:val="1"/>
          <w:color w:val="auto"/>
        </w:rPr>
        <w:t xml:space="preserve">Annual Deferred Stock Unit Award </w:t>
      </w:r>
      <w:r>
        <w:rPr>
          <w:rFonts w:ascii="Arial" w:cs="Arial" w:eastAsia="Arial" w:hAnsi="Arial"/>
          <w:sz w:val="22"/>
          <w:szCs w:val="22"/>
          <w:color w:val="auto"/>
        </w:rPr>
        <w:t>means the annual grant of Deferred Stock Units made to Participants in accordance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with </w:t>
      </w:r>
      <w:r>
        <w:rPr>
          <w:rFonts w:ascii="Arial" w:cs="Arial" w:eastAsia="Arial" w:hAnsi="Arial"/>
          <w:sz w:val="22"/>
          <w:szCs w:val="22"/>
          <w:u w:val="single" w:color="auto"/>
          <w:color w:val="auto"/>
        </w:rPr>
        <w:t>Section 3.02</w:t>
      </w:r>
      <w:r>
        <w:rPr>
          <w:rFonts w:ascii="Arial" w:cs="Arial" w:eastAsia="Arial" w:hAnsi="Arial"/>
          <w:sz w:val="22"/>
          <w:szCs w:val="22"/>
          <w:color w:val="auto"/>
        </w:rPr>
        <w:t>.</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Annual Meeting </w:t>
      </w:r>
      <w:r>
        <w:rPr>
          <w:rFonts w:ascii="Arial" w:cs="Arial" w:eastAsia="Arial" w:hAnsi="Arial"/>
          <w:sz w:val="22"/>
          <w:szCs w:val="22"/>
          <w:color w:val="auto"/>
        </w:rPr>
        <w:t>means the Corporation’s Annual Meeting of Shareowners.</w:t>
      </w:r>
    </w:p>
    <w:p>
      <w:pPr>
        <w:spacing w:after="0" w:line="355" w:lineRule="exact"/>
        <w:rPr>
          <w:sz w:val="20"/>
          <w:szCs w:val="20"/>
          <w:color w:val="auto"/>
        </w:rPr>
      </w:pPr>
    </w:p>
    <w:p>
      <w:pPr>
        <w:ind w:firstLine="648"/>
        <w:spacing w:after="0" w:line="366" w:lineRule="auto"/>
        <w:rPr>
          <w:sz w:val="20"/>
          <w:szCs w:val="20"/>
          <w:color w:val="auto"/>
        </w:rPr>
      </w:pPr>
      <w:r>
        <w:rPr>
          <w:rFonts w:ascii="Arial" w:cs="Arial" w:eastAsia="Arial" w:hAnsi="Arial"/>
          <w:sz w:val="22"/>
          <w:szCs w:val="22"/>
          <w:b w:val="1"/>
          <w:bCs w:val="1"/>
          <w:i w:val="1"/>
          <w:iCs w:val="1"/>
          <w:color w:val="auto"/>
        </w:rPr>
        <w:t xml:space="preserve">Annual Retainer </w:t>
      </w:r>
      <w:r>
        <w:rPr>
          <w:rFonts w:ascii="Arial" w:cs="Arial" w:eastAsia="Arial" w:hAnsi="Arial"/>
          <w:sz w:val="22"/>
          <w:szCs w:val="22"/>
          <w:color w:val="auto"/>
        </w:rPr>
        <w:t>means the annual retainer fee payable to a Participant under</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Section 3.01</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for services to the Corporation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as an independent Director in the capacities indicated.</w:t>
      </w:r>
    </w:p>
    <w:p>
      <w:pPr>
        <w:spacing w:after="0" w:line="200" w:lineRule="exact"/>
        <w:rPr>
          <w:sz w:val="20"/>
          <w:szCs w:val="20"/>
          <w:color w:val="auto"/>
        </w:rPr>
      </w:pPr>
    </w:p>
    <w:p>
      <w:pPr>
        <w:jc w:val="both"/>
        <w:ind w:right="40" w:firstLine="648"/>
        <w:spacing w:after="0" w:line="356" w:lineRule="auto"/>
        <w:rPr>
          <w:sz w:val="20"/>
          <w:szCs w:val="20"/>
          <w:color w:val="auto"/>
        </w:rPr>
      </w:pPr>
      <w:r>
        <w:rPr>
          <w:rFonts w:ascii="Arial" w:cs="Arial" w:eastAsia="Arial" w:hAnsi="Arial"/>
          <w:sz w:val="22"/>
          <w:szCs w:val="22"/>
          <w:b w:val="1"/>
          <w:bCs w:val="1"/>
          <w:i w:val="1"/>
          <w:iCs w:val="1"/>
          <w:color w:val="auto"/>
        </w:rPr>
        <w:t xml:space="preserve">Beneficiary </w:t>
      </w:r>
      <w:r>
        <w:rPr>
          <w:rFonts w:ascii="Arial" w:cs="Arial" w:eastAsia="Arial" w:hAnsi="Arial"/>
          <w:sz w:val="22"/>
          <w:szCs w:val="22"/>
          <w:color w:val="auto"/>
        </w:rPr>
        <w:t>means a Participant’s beneficiary, designated in writing in a form and manner satisfactory to the Committee,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or if a Participant fails to designate a beneficiary, or if all of the Participant’s designated Beneficiaries predecease the Participant, the Participant’s estate.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Board </w:t>
      </w:r>
      <w:r>
        <w:rPr>
          <w:rFonts w:ascii="Arial" w:cs="Arial" w:eastAsia="Arial" w:hAnsi="Arial"/>
          <w:sz w:val="22"/>
          <w:szCs w:val="22"/>
          <w:color w:val="auto"/>
        </w:rPr>
        <w:t>means the Board of Directors of the Corporation.</w:t>
      </w:r>
    </w:p>
    <w:p>
      <w:pPr>
        <w:sectPr>
          <w:pgSz w:w="11900" w:h="16838" w:orient="portrait"/>
          <w:cols w:equalWidth="0" w:num="1">
            <w:col w:w="11200"/>
          </w:cols>
          <w:pgMar w:left="320" w:top="144" w:right="379" w:bottom="1440" w:gutter="0" w:footer="0" w:header="0"/>
        </w:sectPr>
      </w:pPr>
    </w:p>
    <w:bookmarkStart w:id="80" w:name="page81"/>
    <w:bookmarkEnd w:id="80"/>
    <w:p>
      <w:pPr>
        <w:jc w:val="center"/>
        <w:ind w:right="-39"/>
        <w:spacing w:after="0"/>
        <w:rPr>
          <w:sz w:val="20"/>
          <w:szCs w:val="20"/>
          <w:color w:val="auto"/>
        </w:rPr>
      </w:pPr>
      <w:r>
        <w:rPr>
          <w:rFonts w:ascii="Arial" w:cs="Arial" w:eastAsia="Arial" w:hAnsi="Arial"/>
          <w:sz w:val="14"/>
          <w:szCs w:val="14"/>
          <w:color w:val="auto"/>
        </w:rPr>
        <w:t>Internal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auto"/>
        </w:rPr>
        <w:t xml:space="preserve">Board Cycle </w:t>
      </w:r>
      <w:r>
        <w:rPr>
          <w:rFonts w:ascii="Arial" w:cs="Arial" w:eastAsia="Arial" w:hAnsi="Arial"/>
          <w:sz w:val="19"/>
          <w:szCs w:val="19"/>
          <w:color w:val="auto"/>
        </w:rPr>
        <w:t>means the period beginning on an Annual Meeting and ending at the start of the next Annual Meeting.</w:t>
      </w:r>
    </w:p>
    <w:p>
      <w:pPr>
        <w:spacing w:after="0" w:line="389"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Carrier </w:t>
      </w:r>
      <w:r>
        <w:rPr>
          <w:rFonts w:ascii="Arial" w:cs="Arial" w:eastAsia="Arial" w:hAnsi="Arial"/>
          <w:sz w:val="22"/>
          <w:szCs w:val="22"/>
          <w:color w:val="auto"/>
        </w:rPr>
        <w:t>means Carrier Global Corporation.</w:t>
      </w:r>
    </w:p>
    <w:p>
      <w:pPr>
        <w:spacing w:after="0" w:line="355" w:lineRule="exact"/>
        <w:rPr>
          <w:sz w:val="20"/>
          <w:szCs w:val="20"/>
          <w:color w:val="auto"/>
        </w:rPr>
      </w:pPr>
    </w:p>
    <w:p>
      <w:pPr>
        <w:ind w:right="800" w:firstLine="648"/>
        <w:spacing w:after="0" w:line="461" w:lineRule="auto"/>
        <w:rPr>
          <w:sz w:val="20"/>
          <w:szCs w:val="20"/>
          <w:color w:val="auto"/>
        </w:rPr>
      </w:pPr>
      <w:r>
        <w:rPr>
          <w:rFonts w:ascii="Arial" w:cs="Arial" w:eastAsia="Arial" w:hAnsi="Arial"/>
          <w:sz w:val="19"/>
          <w:szCs w:val="19"/>
          <w:b w:val="1"/>
          <w:bCs w:val="1"/>
          <w:i w:val="1"/>
          <w:iCs w:val="1"/>
          <w:color w:val="auto"/>
        </w:rPr>
        <w:t xml:space="preserve">Carrier Deferred Stock Units </w:t>
      </w:r>
      <w:r>
        <w:rPr>
          <w:rFonts w:ascii="Arial" w:cs="Arial" w:eastAsia="Arial" w:hAnsi="Arial"/>
          <w:sz w:val="19"/>
          <w:szCs w:val="19"/>
          <w:color w:val="auto"/>
        </w:rPr>
        <w:t>means Deferred Stock Units of Carrier Global Corporation distributable in cash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accordance with </w:t>
      </w:r>
      <w:r>
        <w:rPr>
          <w:rFonts w:ascii="Arial" w:cs="Arial" w:eastAsia="Arial" w:hAnsi="Arial"/>
          <w:sz w:val="19"/>
          <w:szCs w:val="19"/>
          <w:u w:val="single" w:color="auto"/>
          <w:color w:val="auto"/>
        </w:rPr>
        <w:t>Article V</w:t>
      </w:r>
      <w:r>
        <w:rPr>
          <w:rFonts w:ascii="Arial" w:cs="Arial" w:eastAsia="Arial" w:hAnsi="Arial"/>
          <w:sz w:val="19"/>
          <w:szCs w:val="19"/>
          <w:color w:val="auto"/>
        </w:rPr>
        <w:t>. Each Carrier Deferred Stock Unit is equal in value to a share of Carrier common stock.</w:t>
      </w:r>
    </w:p>
    <w:p>
      <w:pPr>
        <w:spacing w:after="0" w:line="133" w:lineRule="exact"/>
        <w:rPr>
          <w:sz w:val="20"/>
          <w:szCs w:val="20"/>
          <w:color w:val="auto"/>
        </w:rPr>
      </w:pPr>
    </w:p>
    <w:p>
      <w:pPr>
        <w:ind w:right="20" w:firstLine="648"/>
        <w:spacing w:after="0" w:line="352" w:lineRule="auto"/>
        <w:rPr>
          <w:sz w:val="20"/>
          <w:szCs w:val="20"/>
          <w:color w:val="auto"/>
        </w:rPr>
      </w:pPr>
      <w:r>
        <w:rPr>
          <w:rFonts w:ascii="Arial" w:cs="Arial" w:eastAsia="Arial" w:hAnsi="Arial"/>
          <w:sz w:val="22"/>
          <w:szCs w:val="22"/>
          <w:b w:val="1"/>
          <w:bCs w:val="1"/>
          <w:i w:val="1"/>
          <w:iCs w:val="1"/>
          <w:color w:val="auto"/>
        </w:rPr>
        <w:t xml:space="preserve">Closing Price </w:t>
      </w:r>
      <w:r>
        <w:rPr>
          <w:rFonts w:ascii="Arial" w:cs="Arial" w:eastAsia="Arial" w:hAnsi="Arial"/>
          <w:sz w:val="22"/>
          <w:szCs w:val="22"/>
          <w:color w:val="auto"/>
        </w:rPr>
        <w:t>means, with respect to any date specified by the Plan, the closing price of common stock on the composite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tape of New York Stock Exchange on such date (or if there was no reported sale of common stock on such date, on the next following day on which there was such a reported sale) which common stock is the underlying referenced security of the relevant Deferred Stock Unit.</w:t>
      </w:r>
    </w:p>
    <w:p>
      <w:pPr>
        <w:spacing w:after="0" w:line="217" w:lineRule="exact"/>
        <w:rPr>
          <w:sz w:val="20"/>
          <w:szCs w:val="20"/>
          <w:color w:val="auto"/>
        </w:rPr>
      </w:pPr>
    </w:p>
    <w:p>
      <w:pPr>
        <w:ind w:firstLine="648"/>
        <w:spacing w:after="0" w:line="352" w:lineRule="auto"/>
        <w:rPr>
          <w:sz w:val="20"/>
          <w:szCs w:val="20"/>
          <w:color w:val="auto"/>
        </w:rPr>
      </w:pPr>
      <w:r>
        <w:rPr>
          <w:rFonts w:ascii="Arial" w:cs="Arial" w:eastAsia="Arial" w:hAnsi="Arial"/>
          <w:sz w:val="22"/>
          <w:szCs w:val="22"/>
          <w:b w:val="1"/>
          <w:bCs w:val="1"/>
          <w:i w:val="1"/>
          <w:iCs w:val="1"/>
          <w:color w:val="auto"/>
        </w:rPr>
        <w:t xml:space="preserve">Code </w:t>
      </w:r>
      <w:r>
        <w:rPr>
          <w:rFonts w:ascii="Arial" w:cs="Arial" w:eastAsia="Arial" w:hAnsi="Arial"/>
          <w:sz w:val="22"/>
          <w:szCs w:val="22"/>
          <w:color w:val="auto"/>
        </w:rPr>
        <w:t>means the Internal Revenue Code of 1986, as amended from time to time, and any successor thereto. References to</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any Section of the Internal Revenue Code shall include any final regulations or other applicable guidance. References to “Section 409A” shall include any final regulations or other applicable guidance issued thereunder by the Internal Revenue Service from time to time.</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auto"/>
        </w:rPr>
        <w:t xml:space="preserve">Committee </w:t>
      </w:r>
      <w:r>
        <w:rPr>
          <w:rFonts w:ascii="Arial" w:cs="Arial" w:eastAsia="Arial" w:hAnsi="Arial"/>
          <w:sz w:val="19"/>
          <w:szCs w:val="19"/>
          <w:color w:val="auto"/>
        </w:rPr>
        <w:t>means the Committee on Governance and Public Policy (and any successor Committee) of the Board.</w:t>
      </w:r>
    </w:p>
    <w:p>
      <w:pPr>
        <w:spacing w:after="0" w:line="389" w:lineRule="exact"/>
        <w:rPr>
          <w:sz w:val="20"/>
          <w:szCs w:val="20"/>
          <w:color w:val="auto"/>
        </w:rPr>
      </w:pPr>
    </w:p>
    <w:p>
      <w:pPr>
        <w:ind w:firstLine="648"/>
        <w:spacing w:after="0" w:line="366" w:lineRule="auto"/>
        <w:rPr>
          <w:sz w:val="20"/>
          <w:szCs w:val="20"/>
          <w:color w:val="auto"/>
        </w:rPr>
      </w:pPr>
      <w:r>
        <w:rPr>
          <w:rFonts w:ascii="Arial" w:cs="Arial" w:eastAsia="Arial" w:hAnsi="Arial"/>
          <w:sz w:val="22"/>
          <w:szCs w:val="22"/>
          <w:b w:val="1"/>
          <w:bCs w:val="1"/>
          <w:i w:val="1"/>
          <w:iCs w:val="1"/>
          <w:color w:val="auto"/>
        </w:rPr>
        <w:t xml:space="preserve">Conversion Date </w:t>
      </w:r>
      <w:r>
        <w:rPr>
          <w:rFonts w:ascii="Arial" w:cs="Arial" w:eastAsia="Arial" w:hAnsi="Arial"/>
          <w:sz w:val="22"/>
          <w:szCs w:val="22"/>
          <w:color w:val="auto"/>
        </w:rPr>
        <w:t>means the date Deferred Stock Units are converted to shares of UTC Common Stock, immediately prior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to the delivery of such shares to a Participant or Beneficiary in accordance with </w:t>
      </w:r>
      <w:r>
        <w:rPr>
          <w:rFonts w:ascii="Arial" w:cs="Arial" w:eastAsia="Arial" w:hAnsi="Arial"/>
          <w:sz w:val="22"/>
          <w:szCs w:val="22"/>
          <w:u w:val="single" w:color="auto"/>
          <w:color w:val="auto"/>
        </w:rPr>
        <w:t>Article V</w:t>
      </w:r>
      <w:r>
        <w:rPr>
          <w:rFonts w:ascii="Arial" w:cs="Arial" w:eastAsia="Arial" w:hAnsi="Arial"/>
          <w:sz w:val="22"/>
          <w:szCs w:val="22"/>
          <w:color w:val="auto"/>
        </w:rPr>
        <w:t xml:space="preserve"> herein.</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Corporation </w:t>
      </w:r>
      <w:r>
        <w:rPr>
          <w:rFonts w:ascii="Arial" w:cs="Arial" w:eastAsia="Arial" w:hAnsi="Arial"/>
          <w:sz w:val="22"/>
          <w:szCs w:val="22"/>
          <w:color w:val="auto"/>
        </w:rPr>
        <w:t>means United Technologies Corporation.</w:t>
      </w:r>
    </w:p>
    <w:p>
      <w:pPr>
        <w:sectPr>
          <w:pgSz w:w="11900" w:h="16838" w:orient="portrait"/>
          <w:cols w:equalWidth="0" w:num="1">
            <w:col w:w="11200"/>
          </w:cols>
          <w:pgMar w:left="320" w:top="144" w:right="37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4"/>
          <w:szCs w:val="14"/>
          <w:color w:val="auto"/>
        </w:rPr>
        <w:t>Internal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auto"/>
        </w:rPr>
        <w:t xml:space="preserve">Deferred Annual Retainer </w:t>
      </w:r>
      <w:r>
        <w:rPr>
          <w:rFonts w:ascii="Arial" w:cs="Arial" w:eastAsia="Arial" w:hAnsi="Arial"/>
          <w:sz w:val="19"/>
          <w:szCs w:val="19"/>
          <w:color w:val="auto"/>
        </w:rPr>
        <w:t>means any portion of a Participant’s Annual Retainer deferred in accordance with</w:t>
      </w:r>
      <w:r>
        <w:rPr>
          <w:rFonts w:ascii="Arial" w:cs="Arial" w:eastAsia="Arial" w:hAnsi="Arial"/>
          <w:sz w:val="19"/>
          <w:szCs w:val="19"/>
          <w:b w:val="1"/>
          <w:bCs w:val="1"/>
          <w:i w:val="1"/>
          <w:iCs w:val="1"/>
          <w:color w:val="auto"/>
        </w:rPr>
        <w:t xml:space="preserve"> </w:t>
      </w:r>
      <w:r>
        <w:rPr>
          <w:rFonts w:ascii="Arial" w:cs="Arial" w:eastAsia="Arial" w:hAnsi="Arial"/>
          <w:sz w:val="19"/>
          <w:szCs w:val="19"/>
          <w:u w:val="single" w:color="auto"/>
          <w:color w:val="auto"/>
        </w:rPr>
        <w:t>Article V</w:t>
      </w:r>
      <w:r>
        <w:rPr>
          <w:rFonts w:ascii="Arial" w:cs="Arial" w:eastAsia="Arial" w:hAnsi="Arial"/>
          <w:sz w:val="19"/>
          <w:szCs w:val="19"/>
          <w:color w:val="auto"/>
        </w:rPr>
        <w:t>.</w:t>
      </w:r>
    </w:p>
    <w:p>
      <w:pPr>
        <w:spacing w:after="0" w:line="389" w:lineRule="exact"/>
        <w:rPr>
          <w:sz w:val="20"/>
          <w:szCs w:val="20"/>
          <w:color w:val="auto"/>
        </w:rPr>
      </w:pPr>
    </w:p>
    <w:p>
      <w:pPr>
        <w:ind w:right="320" w:firstLine="648"/>
        <w:spacing w:after="0" w:line="356" w:lineRule="auto"/>
        <w:rPr>
          <w:sz w:val="20"/>
          <w:szCs w:val="20"/>
          <w:color w:val="auto"/>
        </w:rPr>
      </w:pPr>
      <w:r>
        <w:rPr>
          <w:rFonts w:ascii="Arial" w:cs="Arial" w:eastAsia="Arial" w:hAnsi="Arial"/>
          <w:sz w:val="22"/>
          <w:szCs w:val="22"/>
          <w:b w:val="1"/>
          <w:bCs w:val="1"/>
          <w:i w:val="1"/>
          <w:iCs w:val="1"/>
          <w:color w:val="auto"/>
        </w:rPr>
        <w:t xml:space="preserve">Deferred Stock Units </w:t>
      </w:r>
      <w:r>
        <w:rPr>
          <w:rFonts w:ascii="Arial" w:cs="Arial" w:eastAsia="Arial" w:hAnsi="Arial"/>
          <w:sz w:val="22"/>
          <w:szCs w:val="22"/>
          <w:color w:val="auto"/>
        </w:rPr>
        <w:t>means hypothetical shares of common stock that will be settled in actual shares, or an amount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cash equal to the fair market value of shares, of common stock (as applicable), that have been deferred in accordance with Section 409A.</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Distribution Anniversary Date </w:t>
      </w:r>
      <w:r>
        <w:rPr>
          <w:rFonts w:ascii="Arial" w:cs="Arial" w:eastAsia="Arial" w:hAnsi="Arial"/>
          <w:sz w:val="22"/>
          <w:szCs w:val="22"/>
          <w:color w:val="auto"/>
        </w:rPr>
        <w:t>means an anniversary of the Distribution Commencement Date.</w:t>
      </w:r>
    </w:p>
    <w:p>
      <w:pPr>
        <w:spacing w:after="0" w:line="112" w:lineRule="exact"/>
        <w:rPr>
          <w:sz w:val="20"/>
          <w:szCs w:val="20"/>
          <w:color w:val="auto"/>
        </w:rPr>
      </w:pPr>
    </w:p>
    <w:p>
      <w:pPr>
        <w:ind w:right="460" w:firstLine="648"/>
        <w:spacing w:after="0" w:line="366" w:lineRule="auto"/>
        <w:rPr>
          <w:sz w:val="20"/>
          <w:szCs w:val="20"/>
          <w:color w:val="auto"/>
        </w:rPr>
      </w:pPr>
      <w:r>
        <w:rPr>
          <w:rFonts w:ascii="Arial" w:cs="Arial" w:eastAsia="Arial" w:hAnsi="Arial"/>
          <w:sz w:val="22"/>
          <w:szCs w:val="22"/>
          <w:b w:val="1"/>
          <w:bCs w:val="1"/>
          <w:i w:val="1"/>
          <w:iCs w:val="1"/>
          <w:color w:val="auto"/>
        </w:rPr>
        <w:t xml:space="preserve">Distribution Commencement Date </w:t>
      </w:r>
      <w:r>
        <w:rPr>
          <w:rFonts w:ascii="Arial" w:cs="Arial" w:eastAsia="Arial" w:hAnsi="Arial"/>
          <w:sz w:val="22"/>
          <w:szCs w:val="22"/>
          <w:color w:val="auto"/>
        </w:rPr>
        <w:t>means the first business day that is 30 days following the date of Separation from</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Service.</w:t>
      </w:r>
    </w:p>
    <w:p>
      <w:pPr>
        <w:spacing w:after="0" w:line="200" w:lineRule="exact"/>
        <w:rPr>
          <w:sz w:val="20"/>
          <w:szCs w:val="20"/>
          <w:color w:val="auto"/>
        </w:rPr>
      </w:pPr>
    </w:p>
    <w:p>
      <w:pPr>
        <w:ind w:right="280" w:firstLine="648"/>
        <w:spacing w:after="0" w:line="461" w:lineRule="auto"/>
        <w:rPr>
          <w:sz w:val="20"/>
          <w:szCs w:val="20"/>
          <w:color w:val="auto"/>
        </w:rPr>
      </w:pPr>
      <w:r>
        <w:rPr>
          <w:rFonts w:ascii="Arial" w:cs="Arial" w:eastAsia="Arial" w:hAnsi="Arial"/>
          <w:sz w:val="19"/>
          <w:szCs w:val="19"/>
          <w:b w:val="1"/>
          <w:bCs w:val="1"/>
          <w:i w:val="1"/>
          <w:iCs w:val="1"/>
          <w:color w:val="auto"/>
        </w:rPr>
        <w:t xml:space="preserve">Election </w:t>
      </w:r>
      <w:r>
        <w:rPr>
          <w:rFonts w:ascii="Arial" w:cs="Arial" w:eastAsia="Arial" w:hAnsi="Arial"/>
          <w:sz w:val="19"/>
          <w:szCs w:val="19"/>
          <w:color w:val="auto"/>
        </w:rPr>
        <w:t>means an irrevocable election by a Participant either to defer all or a portion of the Annual Retainer otherwise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payable in cash or to specify how an Account will be distributed (i.e., as a lump sum, or in 10 or 15 annual installments).</w:t>
      </w:r>
    </w:p>
    <w:p>
      <w:pPr>
        <w:spacing w:after="0" w:line="133" w:lineRule="exact"/>
        <w:rPr>
          <w:sz w:val="20"/>
          <w:szCs w:val="20"/>
          <w:color w:val="auto"/>
        </w:rPr>
      </w:pPr>
    </w:p>
    <w:p>
      <w:pPr>
        <w:ind w:right="20" w:firstLine="648"/>
        <w:spacing w:after="0" w:line="366" w:lineRule="auto"/>
        <w:rPr>
          <w:sz w:val="20"/>
          <w:szCs w:val="20"/>
          <w:color w:val="auto"/>
        </w:rPr>
      </w:pPr>
      <w:r>
        <w:rPr>
          <w:rFonts w:ascii="Arial" w:cs="Arial" w:eastAsia="Arial" w:hAnsi="Arial"/>
          <w:sz w:val="22"/>
          <w:szCs w:val="22"/>
          <w:b w:val="1"/>
          <w:bCs w:val="1"/>
          <w:i w:val="1"/>
          <w:iCs w:val="1"/>
          <w:color w:val="auto"/>
        </w:rPr>
        <w:t xml:space="preserve">Employee Matters Agreement </w:t>
      </w:r>
      <w:r>
        <w:rPr>
          <w:rFonts w:ascii="Arial" w:cs="Arial" w:eastAsia="Arial" w:hAnsi="Arial"/>
          <w:sz w:val="22"/>
          <w:szCs w:val="22"/>
          <w:color w:val="auto"/>
        </w:rPr>
        <w:t>means the Employee Matters Agreement entered into, by and among the Corporation, Otis,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and Carrier.</w:t>
      </w:r>
    </w:p>
    <w:p>
      <w:pPr>
        <w:spacing w:after="0" w:line="20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i w:val="1"/>
          <w:iCs w:val="1"/>
          <w:color w:val="auto"/>
        </w:rPr>
        <w:t xml:space="preserve">LTIP </w:t>
      </w:r>
      <w:r>
        <w:rPr>
          <w:rFonts w:ascii="Arial" w:cs="Arial" w:eastAsia="Arial" w:hAnsi="Arial"/>
          <w:sz w:val="22"/>
          <w:szCs w:val="22"/>
          <w:color w:val="auto"/>
        </w:rPr>
        <w:t>means the United Technologies Corporation 2018 Long-Term Incentive Plan, as amended from time to time.</w:t>
      </w:r>
    </w:p>
    <w:p>
      <w:pPr>
        <w:spacing w:after="0" w:line="355" w:lineRule="exact"/>
        <w:rPr>
          <w:sz w:val="20"/>
          <w:szCs w:val="20"/>
          <w:color w:val="auto"/>
        </w:rPr>
      </w:pPr>
    </w:p>
    <w:p>
      <w:pPr>
        <w:ind w:right="140" w:firstLine="648"/>
        <w:spacing w:after="0" w:line="366" w:lineRule="auto"/>
        <w:rPr>
          <w:sz w:val="20"/>
          <w:szCs w:val="20"/>
          <w:color w:val="auto"/>
        </w:rPr>
      </w:pPr>
      <w:r>
        <w:rPr>
          <w:rFonts w:ascii="Arial" w:cs="Arial" w:eastAsia="Arial" w:hAnsi="Arial"/>
          <w:sz w:val="22"/>
          <w:szCs w:val="22"/>
          <w:b w:val="1"/>
          <w:bCs w:val="1"/>
          <w:i w:val="1"/>
          <w:iCs w:val="1"/>
          <w:color w:val="auto"/>
        </w:rPr>
        <w:t xml:space="preserve">New Director Restricted Stock Unit Award </w:t>
      </w:r>
      <w:r>
        <w:rPr>
          <w:rFonts w:ascii="Arial" w:cs="Arial" w:eastAsia="Arial" w:hAnsi="Arial"/>
          <w:sz w:val="22"/>
          <w:szCs w:val="22"/>
          <w:color w:val="auto"/>
        </w:rPr>
        <w:t>means the one-time Deferred Stock Unit award granted to a Participant upon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election to the Board as provided in Section 3.03.</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Otis </w:t>
      </w:r>
      <w:r>
        <w:rPr>
          <w:rFonts w:ascii="Arial" w:cs="Arial" w:eastAsia="Arial" w:hAnsi="Arial"/>
          <w:sz w:val="22"/>
          <w:szCs w:val="22"/>
          <w:color w:val="auto"/>
        </w:rPr>
        <w:t>means Otis Worldwide Corporation.</w:t>
      </w:r>
    </w:p>
    <w:p>
      <w:pPr>
        <w:spacing w:after="0" w:line="355" w:lineRule="exact"/>
        <w:rPr>
          <w:sz w:val="20"/>
          <w:szCs w:val="20"/>
          <w:color w:val="auto"/>
        </w:rPr>
      </w:pPr>
    </w:p>
    <w:p>
      <w:pPr>
        <w:ind w:firstLine="648"/>
        <w:spacing w:after="0" w:line="366" w:lineRule="auto"/>
        <w:rPr>
          <w:sz w:val="20"/>
          <w:szCs w:val="20"/>
          <w:color w:val="auto"/>
        </w:rPr>
      </w:pPr>
      <w:r>
        <w:rPr>
          <w:rFonts w:ascii="Arial" w:cs="Arial" w:eastAsia="Arial" w:hAnsi="Arial"/>
          <w:sz w:val="22"/>
          <w:szCs w:val="22"/>
          <w:b w:val="1"/>
          <w:bCs w:val="1"/>
          <w:i w:val="1"/>
          <w:iCs w:val="1"/>
          <w:color w:val="auto"/>
        </w:rPr>
        <w:t xml:space="preserve">Otis Deferred Stock Units </w:t>
      </w:r>
      <w:r>
        <w:rPr>
          <w:rFonts w:ascii="Arial" w:cs="Arial" w:eastAsia="Arial" w:hAnsi="Arial"/>
          <w:sz w:val="22"/>
          <w:szCs w:val="22"/>
          <w:color w:val="auto"/>
        </w:rPr>
        <w:t>means Deferred Stock Units of Otis Worldwide Corporation distributable in cash in accordance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with </w:t>
      </w:r>
      <w:r>
        <w:rPr>
          <w:rFonts w:ascii="Arial" w:cs="Arial" w:eastAsia="Arial" w:hAnsi="Arial"/>
          <w:sz w:val="22"/>
          <w:szCs w:val="22"/>
          <w:u w:val="single" w:color="auto"/>
          <w:color w:val="auto"/>
        </w:rPr>
        <w:t>Article V</w:t>
      </w:r>
      <w:r>
        <w:rPr>
          <w:rFonts w:ascii="Arial" w:cs="Arial" w:eastAsia="Arial" w:hAnsi="Arial"/>
          <w:sz w:val="22"/>
          <w:szCs w:val="22"/>
          <w:color w:val="auto"/>
        </w:rPr>
        <w:t>. Each Otis Deferred Stock Unit is equal in value to a share of Otis common stock.</w:t>
      </w:r>
    </w:p>
    <w:p>
      <w:pPr>
        <w:sectPr>
          <w:pgSz w:w="11900" w:h="16838" w:orient="portrait"/>
          <w:cols w:equalWidth="0" w:num="1">
            <w:col w:w="11240"/>
          </w:cols>
          <w:pgMar w:left="320" w:top="144" w:right="339" w:bottom="1440" w:gutter="0" w:footer="0" w:header="0"/>
        </w:sectPr>
      </w:pPr>
    </w:p>
    <w:bookmarkStart w:id="82" w:name="page83"/>
    <w:bookmarkEnd w:id="82"/>
    <w:p>
      <w:pPr>
        <w:jc w:val="center"/>
        <w:ind w:right="-39"/>
        <w:spacing w:after="0"/>
        <w:rPr>
          <w:sz w:val="20"/>
          <w:szCs w:val="20"/>
          <w:color w:val="auto"/>
        </w:rPr>
      </w:pPr>
      <w:r>
        <w:rPr>
          <w:rFonts w:ascii="Arial" w:cs="Arial" w:eastAsia="Arial" w:hAnsi="Arial"/>
          <w:sz w:val="14"/>
          <w:szCs w:val="14"/>
          <w:color w:val="auto"/>
        </w:rPr>
        <w:t>Internal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60" w:firstLine="648"/>
        <w:spacing w:after="0" w:line="352" w:lineRule="auto"/>
        <w:rPr>
          <w:sz w:val="20"/>
          <w:szCs w:val="20"/>
          <w:color w:val="auto"/>
        </w:rPr>
      </w:pPr>
      <w:r>
        <w:rPr>
          <w:rFonts w:ascii="Arial" w:cs="Arial" w:eastAsia="Arial" w:hAnsi="Arial"/>
          <w:sz w:val="22"/>
          <w:szCs w:val="22"/>
          <w:b w:val="1"/>
          <w:bCs w:val="1"/>
          <w:i w:val="1"/>
          <w:iCs w:val="1"/>
          <w:color w:val="auto"/>
        </w:rPr>
        <w:t xml:space="preserve">Participant </w:t>
      </w:r>
      <w:r>
        <w:rPr>
          <w:rFonts w:ascii="Arial" w:cs="Arial" w:eastAsia="Arial" w:hAnsi="Arial"/>
          <w:sz w:val="22"/>
          <w:szCs w:val="22"/>
          <w:color w:val="auto"/>
        </w:rPr>
        <w:t>means a non-employee member of the Board. A Participant, who has an existing Account under the Plan, but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is not, or is no longer serving as a non-employee director, shall not be eligible for additional awards under the Plan, but shall remain a Participant under the Plan with respect to his or her Account until it is distributed or forfeited in accordance with the terms of the Plan.</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auto"/>
        </w:rPr>
        <w:t xml:space="preserve">Plan </w:t>
      </w:r>
      <w:r>
        <w:rPr>
          <w:rFonts w:ascii="Arial" w:cs="Arial" w:eastAsia="Arial" w:hAnsi="Arial"/>
          <w:sz w:val="19"/>
          <w:szCs w:val="19"/>
          <w:color w:val="auto"/>
        </w:rPr>
        <w:t>means this United Technologies Corporation Board of Directors Deferred Stock Unit Plan, as amended from time to</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auto"/>
        </w:rPr>
        <w:t>time.</w:t>
      </w:r>
    </w:p>
    <w:p>
      <w:pPr>
        <w:spacing w:after="0" w:line="355"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Plan Year </w:t>
      </w:r>
      <w:r>
        <w:rPr>
          <w:rFonts w:ascii="Arial" w:cs="Arial" w:eastAsia="Arial" w:hAnsi="Arial"/>
          <w:sz w:val="22"/>
          <w:szCs w:val="22"/>
          <w:color w:val="auto"/>
        </w:rPr>
        <w:t>means the calendar year.</w:t>
      </w:r>
    </w:p>
    <w:p>
      <w:pPr>
        <w:spacing w:after="0" w:line="355" w:lineRule="exact"/>
        <w:rPr>
          <w:sz w:val="20"/>
          <w:szCs w:val="20"/>
          <w:color w:val="auto"/>
        </w:rPr>
      </w:pPr>
    </w:p>
    <w:p>
      <w:pPr>
        <w:ind w:right="180" w:firstLine="648"/>
        <w:spacing w:after="0" w:line="356" w:lineRule="auto"/>
        <w:rPr>
          <w:sz w:val="20"/>
          <w:szCs w:val="20"/>
          <w:color w:val="auto"/>
        </w:rPr>
      </w:pPr>
      <w:r>
        <w:rPr>
          <w:rFonts w:ascii="Arial" w:cs="Arial" w:eastAsia="Arial" w:hAnsi="Arial"/>
          <w:sz w:val="22"/>
          <w:szCs w:val="22"/>
          <w:b w:val="1"/>
          <w:bCs w:val="1"/>
          <w:i w:val="1"/>
          <w:iCs w:val="1"/>
          <w:color w:val="auto"/>
        </w:rPr>
        <w:t xml:space="preserve">Prior Plan </w:t>
      </w:r>
      <w:r>
        <w:rPr>
          <w:rFonts w:ascii="Arial" w:cs="Arial" w:eastAsia="Arial" w:hAnsi="Arial"/>
          <w:sz w:val="22"/>
          <w:szCs w:val="22"/>
          <w:color w:val="auto"/>
        </w:rPr>
        <w:t>means the United Technologies Corporation Board of Directors Deferred Stock Unit Plan, as in effect 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October 3, 2004, and as modified thereafter from time to time in a manner that does not constitute a "material modification" for purposes of Section 409A, as set forth in Appendix A hereto.</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Recapitalization Event </w:t>
      </w:r>
      <w:r>
        <w:rPr>
          <w:rFonts w:ascii="Arial" w:cs="Arial" w:eastAsia="Arial" w:hAnsi="Arial"/>
          <w:sz w:val="22"/>
          <w:szCs w:val="22"/>
          <w:color w:val="auto"/>
        </w:rPr>
        <w:t>means a transaction or event described in</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Section 4.05(a)(iv)</w:t>
      </w:r>
      <w:r>
        <w:rPr>
          <w:rFonts w:ascii="Arial" w:cs="Arial" w:eastAsia="Arial" w:hAnsi="Arial"/>
          <w:sz w:val="22"/>
          <w:szCs w:val="22"/>
          <w:color w:val="auto"/>
        </w:rPr>
        <w:t>.</w:t>
      </w:r>
    </w:p>
    <w:p>
      <w:pPr>
        <w:spacing w:after="0" w:line="355" w:lineRule="exact"/>
        <w:rPr>
          <w:sz w:val="20"/>
          <w:szCs w:val="20"/>
          <w:color w:val="auto"/>
        </w:rPr>
      </w:pPr>
    </w:p>
    <w:p>
      <w:pPr>
        <w:ind w:firstLine="648"/>
        <w:spacing w:after="0" w:line="356" w:lineRule="auto"/>
        <w:rPr>
          <w:sz w:val="20"/>
          <w:szCs w:val="20"/>
          <w:color w:val="auto"/>
        </w:rPr>
      </w:pPr>
      <w:r>
        <w:rPr>
          <w:rFonts w:ascii="Arial" w:cs="Arial" w:eastAsia="Arial" w:hAnsi="Arial"/>
          <w:sz w:val="22"/>
          <w:szCs w:val="22"/>
          <w:b w:val="1"/>
          <w:bCs w:val="1"/>
          <w:i w:val="1"/>
          <w:iCs w:val="1"/>
          <w:color w:val="auto"/>
        </w:rPr>
        <w:t xml:space="preserve">Separation from Service </w:t>
      </w:r>
      <w:r>
        <w:rPr>
          <w:rFonts w:ascii="Arial" w:cs="Arial" w:eastAsia="Arial" w:hAnsi="Arial"/>
          <w:sz w:val="22"/>
          <w:szCs w:val="22"/>
          <w:color w:val="auto"/>
        </w:rPr>
        <w:t>means a Participant’s resignation, removal, or retirement from the Board (for a reason other than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death) that constitutes a good-faith, complete termination of the Participant’s relationship with the Corporation and that also qualifies as a “separation from service” for purposes of Section 409A of the Code.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Separation from Service Anniversary Date </w:t>
      </w:r>
      <w:r>
        <w:rPr>
          <w:rFonts w:ascii="Arial" w:cs="Arial" w:eastAsia="Arial" w:hAnsi="Arial"/>
          <w:sz w:val="22"/>
          <w:szCs w:val="22"/>
          <w:color w:val="auto"/>
        </w:rPr>
        <w:t>means an anniversary of the date of Separation from Service.</w:t>
      </w:r>
    </w:p>
    <w:p>
      <w:pPr>
        <w:spacing w:after="0" w:line="355" w:lineRule="exact"/>
        <w:rPr>
          <w:sz w:val="20"/>
          <w:szCs w:val="20"/>
          <w:color w:val="auto"/>
        </w:rPr>
      </w:pPr>
    </w:p>
    <w:p>
      <w:pPr>
        <w:ind w:right="100" w:firstLine="648"/>
        <w:spacing w:after="0" w:line="366" w:lineRule="auto"/>
        <w:rPr>
          <w:sz w:val="20"/>
          <w:szCs w:val="20"/>
          <w:color w:val="auto"/>
        </w:rPr>
      </w:pPr>
      <w:r>
        <w:rPr>
          <w:rFonts w:ascii="Arial" w:cs="Arial" w:eastAsia="Arial" w:hAnsi="Arial"/>
          <w:sz w:val="22"/>
          <w:szCs w:val="22"/>
          <w:b w:val="1"/>
          <w:bCs w:val="1"/>
          <w:i w:val="1"/>
          <w:iCs w:val="1"/>
          <w:color w:val="auto"/>
        </w:rPr>
        <w:t xml:space="preserve">Spin-off </w:t>
      </w:r>
      <w:r>
        <w:rPr>
          <w:rFonts w:ascii="Arial" w:cs="Arial" w:eastAsia="Arial" w:hAnsi="Arial"/>
          <w:sz w:val="22"/>
          <w:szCs w:val="22"/>
          <w:color w:val="auto"/>
        </w:rPr>
        <w:t>means the separation from United Technologies Corporation of Otis Worldwide Corporation and Carrier Global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Corporation into independent companies in 2020.</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UTC </w:t>
      </w:r>
      <w:r>
        <w:rPr>
          <w:rFonts w:ascii="Arial" w:cs="Arial" w:eastAsia="Arial" w:hAnsi="Arial"/>
          <w:sz w:val="22"/>
          <w:szCs w:val="22"/>
          <w:color w:val="auto"/>
        </w:rPr>
        <w:t>means United Technologies Corporation.</w:t>
      </w:r>
    </w:p>
    <w:p>
      <w:pPr>
        <w:sectPr>
          <w:pgSz w:w="11900" w:h="16838" w:orient="portrait"/>
          <w:cols w:equalWidth="0" w:num="1">
            <w:col w:w="11200"/>
          </w:cols>
          <w:pgMar w:left="320" w:top="144" w:right="379" w:bottom="1440" w:gutter="0" w:footer="0" w:header="0"/>
        </w:sectPr>
      </w:pPr>
    </w:p>
    <w:bookmarkStart w:id="83" w:name="page84"/>
    <w:bookmarkEnd w:id="83"/>
    <w:p>
      <w:pPr>
        <w:jc w:val="center"/>
        <w:ind w:right="-39"/>
        <w:spacing w:after="0"/>
        <w:rPr>
          <w:sz w:val="20"/>
          <w:szCs w:val="20"/>
          <w:color w:val="auto"/>
        </w:rPr>
      </w:pPr>
      <w:r>
        <w:rPr>
          <w:rFonts w:ascii="Arial" w:cs="Arial" w:eastAsia="Arial" w:hAnsi="Arial"/>
          <w:sz w:val="14"/>
          <w:szCs w:val="14"/>
          <w:color w:val="auto"/>
        </w:rPr>
        <w:t>Internal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UTC Common Stock </w:t>
      </w:r>
      <w:r>
        <w:rPr>
          <w:rFonts w:ascii="Arial" w:cs="Arial" w:eastAsia="Arial" w:hAnsi="Arial"/>
          <w:sz w:val="22"/>
          <w:szCs w:val="22"/>
          <w:color w:val="auto"/>
        </w:rPr>
        <w:t>shall mean the common stock of the Corporation.</w:t>
      </w:r>
    </w:p>
    <w:p>
      <w:pPr>
        <w:spacing w:after="0" w:line="355" w:lineRule="exact"/>
        <w:rPr>
          <w:sz w:val="20"/>
          <w:szCs w:val="20"/>
          <w:color w:val="auto"/>
        </w:rPr>
      </w:pPr>
    </w:p>
    <w:p>
      <w:pPr>
        <w:ind w:right="140" w:firstLine="648"/>
        <w:spacing w:after="0" w:line="352" w:lineRule="auto"/>
        <w:rPr>
          <w:sz w:val="20"/>
          <w:szCs w:val="20"/>
          <w:color w:val="auto"/>
        </w:rPr>
      </w:pPr>
      <w:r>
        <w:rPr>
          <w:rFonts w:ascii="Arial" w:cs="Arial" w:eastAsia="Arial" w:hAnsi="Arial"/>
          <w:sz w:val="22"/>
          <w:szCs w:val="22"/>
          <w:b w:val="1"/>
          <w:bCs w:val="1"/>
          <w:i w:val="1"/>
          <w:iCs w:val="1"/>
          <w:color w:val="auto"/>
        </w:rPr>
        <w:t xml:space="preserve">UTC Deferred Stock Units </w:t>
      </w:r>
      <w:r>
        <w:rPr>
          <w:rFonts w:ascii="Arial" w:cs="Arial" w:eastAsia="Arial" w:hAnsi="Arial"/>
          <w:sz w:val="22"/>
          <w:szCs w:val="22"/>
          <w:color w:val="auto"/>
        </w:rPr>
        <w:t>means Deferred Stock Units of the Corporation convertible into actual shares of UTC</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Common Stock as of the Conversion Date in accordance with </w:t>
      </w:r>
      <w:r>
        <w:rPr>
          <w:rFonts w:ascii="Arial" w:cs="Arial" w:eastAsia="Arial" w:hAnsi="Arial"/>
          <w:sz w:val="22"/>
          <w:szCs w:val="22"/>
          <w:u w:val="single" w:color="auto"/>
          <w:color w:val="auto"/>
        </w:rPr>
        <w:t>Article V</w:t>
      </w:r>
      <w:r>
        <w:rPr>
          <w:rFonts w:ascii="Arial" w:cs="Arial" w:eastAsia="Arial" w:hAnsi="Arial"/>
          <w:sz w:val="22"/>
          <w:szCs w:val="22"/>
          <w:color w:val="auto"/>
        </w:rPr>
        <w:t>. Each UTC Deferred Stock Unit is equal in value to one share of UTC Common Stock. UTC Deferred Stock Units are awarded under the LTIP, and distributed and administered in accordance with the terms of this Plan.</w:t>
      </w:r>
    </w:p>
    <w:p>
      <w:pPr>
        <w:spacing w:after="0" w:line="211" w:lineRule="exact"/>
        <w:rPr>
          <w:sz w:val="20"/>
          <w:szCs w:val="20"/>
          <w:color w:val="auto"/>
        </w:rPr>
      </w:pPr>
    </w:p>
    <w:p>
      <w:pPr>
        <w:ind w:left="3180"/>
        <w:spacing w:after="0"/>
        <w:rPr>
          <w:sz w:val="20"/>
          <w:szCs w:val="20"/>
          <w:color w:val="auto"/>
        </w:rPr>
      </w:pPr>
      <w:r>
        <w:rPr>
          <w:rFonts w:ascii="Arial" w:cs="Arial" w:eastAsia="Arial" w:hAnsi="Arial"/>
          <w:sz w:val="22"/>
          <w:szCs w:val="22"/>
          <w:b w:val="1"/>
          <w:bCs w:val="1"/>
          <w:color w:val="010000"/>
        </w:rPr>
        <w:t>Article III.</w:t>
      </w:r>
      <w:r>
        <w:rPr>
          <w:rFonts w:ascii="Arial" w:cs="Arial" w:eastAsia="Arial" w:hAnsi="Arial"/>
          <w:sz w:val="22"/>
          <w:szCs w:val="22"/>
          <w:b w:val="1"/>
          <w:bCs w:val="1"/>
          <w:color w:val="000000"/>
        </w:rPr>
        <w:t>ELIGIBLE COMPENSATION</w:t>
      </w:r>
    </w:p>
    <w:p>
      <w:pPr>
        <w:spacing w:after="0" w:line="355" w:lineRule="exact"/>
        <w:rPr>
          <w:sz w:val="20"/>
          <w:szCs w:val="20"/>
          <w:color w:val="auto"/>
        </w:rPr>
      </w:pPr>
    </w:p>
    <w:p>
      <w:pPr>
        <w:ind w:left="560" w:hanging="234"/>
        <w:spacing w:after="0"/>
        <w:tabs>
          <w:tab w:leader="none" w:pos="560" w:val="left"/>
        </w:tabs>
        <w:numPr>
          <w:ilvl w:val="0"/>
          <w:numId w:val="24"/>
        </w:numPr>
        <w:rPr>
          <w:rFonts w:ascii="Arial" w:cs="Arial" w:eastAsia="Arial" w:hAnsi="Arial"/>
          <w:sz w:val="22"/>
          <w:szCs w:val="22"/>
          <w:b w:val="1"/>
          <w:bCs w:val="1"/>
          <w:color w:val="010000"/>
        </w:rPr>
      </w:pPr>
      <w:r>
        <w:rPr>
          <w:rFonts w:ascii="Arial" w:cs="Arial" w:eastAsia="Arial" w:hAnsi="Arial"/>
          <w:sz w:val="22"/>
          <w:szCs w:val="22"/>
          <w:b w:val="1"/>
          <w:bCs w:val="1"/>
          <w:color w:val="auto"/>
        </w:rPr>
        <w:t>Annual Retainer</w:t>
      </w:r>
    </w:p>
    <w:p>
      <w:pPr>
        <w:spacing w:after="0" w:line="117" w:lineRule="exact"/>
        <w:rPr>
          <w:rFonts w:ascii="Arial" w:cs="Arial" w:eastAsia="Arial" w:hAnsi="Arial"/>
          <w:sz w:val="22"/>
          <w:szCs w:val="22"/>
          <w:b w:val="1"/>
          <w:bCs w:val="1"/>
          <w:color w:val="010000"/>
        </w:rPr>
      </w:pPr>
    </w:p>
    <w:p>
      <w:pPr>
        <w:ind w:firstLine="1304"/>
        <w:spacing w:after="0" w:line="367" w:lineRule="auto"/>
        <w:tabs>
          <w:tab w:leader="none" w:pos="1939" w:val="left"/>
        </w:tabs>
        <w:numPr>
          <w:ilvl w:val="1"/>
          <w:numId w:val="24"/>
        </w:numPr>
        <w:rPr>
          <w:rFonts w:ascii="Arial" w:cs="Arial" w:eastAsia="Arial" w:hAnsi="Arial"/>
          <w:sz w:val="21"/>
          <w:szCs w:val="21"/>
          <w:color w:val="010000"/>
        </w:rPr>
      </w:pPr>
      <w:r>
        <w:rPr>
          <w:rFonts w:ascii="Arial" w:cs="Arial" w:eastAsia="Arial" w:hAnsi="Arial"/>
          <w:sz w:val="21"/>
          <w:szCs w:val="21"/>
          <w:i w:val="1"/>
          <w:iCs w:val="1"/>
          <w:color w:val="auto"/>
        </w:rPr>
        <w:t xml:space="preserve">Annual Retainer Amount. </w:t>
      </w:r>
      <w:r>
        <w:rPr>
          <w:rFonts w:ascii="Arial" w:cs="Arial" w:eastAsia="Arial" w:hAnsi="Arial"/>
          <w:sz w:val="21"/>
          <w:szCs w:val="21"/>
          <w:color w:val="auto"/>
        </w:rPr>
        <w:t>Effective April 29, 2019, subject to subsection (b) of this</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Section 3.01</w:t>
      </w:r>
      <w:r>
        <w:rPr>
          <w:rFonts w:ascii="Arial" w:cs="Arial" w:eastAsia="Arial" w:hAnsi="Arial"/>
          <w:sz w:val="21"/>
          <w:szCs w:val="21"/>
          <w:color w:val="auto"/>
        </w:rPr>
        <w:t>, each</w:t>
      </w:r>
      <w:r>
        <w:rPr>
          <w:rFonts w:ascii="Arial" w:cs="Arial" w:eastAsia="Arial" w:hAnsi="Arial"/>
          <w:sz w:val="21"/>
          <w:szCs w:val="21"/>
          <w:i w:val="1"/>
          <w:iCs w:val="1"/>
          <w:color w:val="auto"/>
        </w:rPr>
        <w:t xml:space="preserve"> </w:t>
      </w:r>
      <w:r>
        <w:rPr>
          <w:rFonts w:ascii="Arial" w:cs="Arial" w:eastAsia="Arial" w:hAnsi="Arial"/>
          <w:sz w:val="21"/>
          <w:szCs w:val="21"/>
          <w:color w:val="auto"/>
        </w:rPr>
        <w:t>Participant will receive a base Annual Retainer of $124,000. In addition to the base Annual Retainer, Participants serving in leadership roles on the Board and/or its committees shall receive the following additional Annual Retainer amounts: $32,000 for the Lead Director; $16,000 for the Audit Committee Chair; $12,000 for other members of the Audit Committee; $10,000 each for the Chairs of all other committees of the Board. In the event that a Participant serves in more than one role listed above, the Participant will receive the additional amounts specified for each role. The Annual Retainer is subject to change, from time to time, at the discretion of the Committee.</w:t>
      </w:r>
    </w:p>
    <w:p>
      <w:pPr>
        <w:spacing w:after="0" w:line="209" w:lineRule="exact"/>
        <w:rPr>
          <w:rFonts w:ascii="Arial" w:cs="Arial" w:eastAsia="Arial" w:hAnsi="Arial"/>
          <w:sz w:val="21"/>
          <w:szCs w:val="21"/>
          <w:color w:val="010000"/>
        </w:rPr>
      </w:pPr>
    </w:p>
    <w:p>
      <w:pPr>
        <w:jc w:val="both"/>
        <w:ind w:right="620" w:firstLine="1304"/>
        <w:spacing w:after="0" w:line="420" w:lineRule="auto"/>
        <w:tabs>
          <w:tab w:leader="none" w:pos="1939" w:val="left"/>
        </w:tabs>
        <w:numPr>
          <w:ilvl w:val="1"/>
          <w:numId w:val="24"/>
        </w:numPr>
        <w:rPr>
          <w:rFonts w:ascii="Arial" w:cs="Arial" w:eastAsia="Arial" w:hAnsi="Arial"/>
          <w:sz w:val="19"/>
          <w:szCs w:val="19"/>
          <w:color w:val="010000"/>
        </w:rPr>
      </w:pPr>
      <w:r>
        <w:rPr>
          <w:rFonts w:ascii="Arial" w:cs="Arial" w:eastAsia="Arial" w:hAnsi="Arial"/>
          <w:sz w:val="19"/>
          <w:szCs w:val="19"/>
          <w:i w:val="1"/>
          <w:iCs w:val="1"/>
          <w:color w:val="auto"/>
        </w:rPr>
        <w:t xml:space="preserve">New Participants. </w:t>
      </w:r>
      <w:r>
        <w:rPr>
          <w:rFonts w:ascii="Arial" w:cs="Arial" w:eastAsia="Arial" w:hAnsi="Arial"/>
          <w:sz w:val="19"/>
          <w:szCs w:val="19"/>
          <w:color w:val="auto"/>
        </w:rPr>
        <w:t>If a Participant is elected to the Board before September 30 of a Board Cycle,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Participant will receive the full amount of the then applicable Annual Retainer. If a Participant is elected to the Board after September 30 of a Board Cycle, the Participant will receive 50% of the applicable Annual Retainer Amount set forth in subsection (a) above. Such amounts will be eligible for deferral in accordance with </w:t>
      </w:r>
      <w:r>
        <w:rPr>
          <w:rFonts w:ascii="Arial" w:cs="Arial" w:eastAsia="Arial" w:hAnsi="Arial"/>
          <w:sz w:val="19"/>
          <w:szCs w:val="19"/>
          <w:u w:val="single" w:color="auto"/>
          <w:color w:val="auto"/>
        </w:rPr>
        <w:t>Article V</w:t>
      </w:r>
      <w:r>
        <w:rPr>
          <w:rFonts w:ascii="Arial" w:cs="Arial" w:eastAsia="Arial" w:hAnsi="Arial"/>
          <w:sz w:val="19"/>
          <w:szCs w:val="19"/>
          <w:color w:val="auto"/>
        </w:rPr>
        <w:t>.</w:t>
      </w:r>
    </w:p>
    <w:p>
      <w:pPr>
        <w:spacing w:after="0" w:line="165" w:lineRule="exact"/>
        <w:rPr>
          <w:rFonts w:ascii="Arial" w:cs="Arial" w:eastAsia="Arial" w:hAnsi="Arial"/>
          <w:sz w:val="19"/>
          <w:szCs w:val="19"/>
          <w:color w:val="010000"/>
        </w:rPr>
      </w:pPr>
    </w:p>
    <w:p>
      <w:pPr>
        <w:ind w:left="560" w:hanging="294"/>
        <w:spacing w:after="0"/>
        <w:tabs>
          <w:tab w:leader="none" w:pos="560" w:val="left"/>
        </w:tabs>
        <w:numPr>
          <w:ilvl w:val="0"/>
          <w:numId w:val="24"/>
        </w:numPr>
        <w:rPr>
          <w:rFonts w:ascii="Arial" w:cs="Arial" w:eastAsia="Arial" w:hAnsi="Arial"/>
          <w:sz w:val="22"/>
          <w:szCs w:val="22"/>
          <w:b w:val="1"/>
          <w:bCs w:val="1"/>
          <w:color w:val="010000"/>
        </w:rPr>
      </w:pPr>
      <w:r>
        <w:rPr>
          <w:rFonts w:ascii="Arial" w:cs="Arial" w:eastAsia="Arial" w:hAnsi="Arial"/>
          <w:sz w:val="22"/>
          <w:szCs w:val="22"/>
          <w:b w:val="1"/>
          <w:bCs w:val="1"/>
          <w:color w:val="auto"/>
        </w:rPr>
        <w:t>Annual Deferred Stock Unit Award</w:t>
      </w:r>
    </w:p>
    <w:p>
      <w:pPr>
        <w:spacing w:after="0" w:line="117" w:lineRule="exact"/>
        <w:rPr>
          <w:rFonts w:ascii="Arial" w:cs="Arial" w:eastAsia="Arial" w:hAnsi="Arial"/>
          <w:sz w:val="22"/>
          <w:szCs w:val="22"/>
          <w:b w:val="1"/>
          <w:bCs w:val="1"/>
          <w:color w:val="010000"/>
        </w:rPr>
      </w:pPr>
    </w:p>
    <w:p>
      <w:pPr>
        <w:ind w:right="40" w:firstLine="1304"/>
        <w:spacing w:after="0" w:line="366" w:lineRule="auto"/>
        <w:tabs>
          <w:tab w:leader="none" w:pos="1939" w:val="left"/>
        </w:tabs>
        <w:numPr>
          <w:ilvl w:val="1"/>
          <w:numId w:val="24"/>
        </w:numPr>
        <w:rPr>
          <w:rFonts w:ascii="Arial" w:cs="Arial" w:eastAsia="Arial" w:hAnsi="Arial"/>
          <w:sz w:val="22"/>
          <w:szCs w:val="22"/>
          <w:color w:val="010000"/>
        </w:rPr>
      </w:pPr>
      <w:r>
        <w:rPr>
          <w:rFonts w:ascii="Arial" w:cs="Arial" w:eastAsia="Arial" w:hAnsi="Arial"/>
          <w:sz w:val="22"/>
          <w:szCs w:val="22"/>
          <w:i w:val="1"/>
          <w:iCs w:val="1"/>
          <w:color w:val="auto"/>
        </w:rPr>
        <w:t xml:space="preserve">Annual Deferred Stock Unit Award. </w:t>
      </w:r>
      <w:r>
        <w:rPr>
          <w:rFonts w:ascii="Arial" w:cs="Arial" w:eastAsia="Arial" w:hAnsi="Arial"/>
          <w:sz w:val="22"/>
          <w:szCs w:val="22"/>
          <w:color w:val="auto"/>
        </w:rPr>
        <w:t>Effective April 29, 2019, subject to subsection (b) of this</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3.02</w:t>
      </w:r>
      <w:r>
        <w:rPr>
          <w:rFonts w:ascii="Arial" w:cs="Arial" w:eastAsia="Arial" w:hAnsi="Arial"/>
          <w:sz w:val="22"/>
          <w:szCs w:val="22"/>
          <w:color w:val="auto"/>
        </w:rPr>
        <w:t>,</w:t>
      </w:r>
      <w:r>
        <w:rPr>
          <w:rFonts w:ascii="Arial" w:cs="Arial" w:eastAsia="Arial" w:hAnsi="Arial"/>
          <w:sz w:val="22"/>
          <w:szCs w:val="22"/>
          <w:i w:val="1"/>
          <w:iCs w:val="1"/>
          <w:color w:val="auto"/>
        </w:rPr>
        <w:t xml:space="preserve"> </w:t>
      </w:r>
      <w:r>
        <w:rPr>
          <w:rFonts w:ascii="Arial" w:cs="Arial" w:eastAsia="Arial" w:hAnsi="Arial"/>
          <w:sz w:val="22"/>
          <w:szCs w:val="22"/>
          <w:color w:val="auto"/>
        </w:rPr>
        <w:t>each Participant will receive a base annual Deferred Stock</w:t>
      </w:r>
    </w:p>
    <w:p>
      <w:pPr>
        <w:sectPr>
          <w:pgSz w:w="11900" w:h="16838" w:orient="portrait"/>
          <w:cols w:equalWidth="0" w:num="1">
            <w:col w:w="11220"/>
          </w:cols>
          <w:pgMar w:left="320" w:top="144" w:right="359" w:bottom="1440" w:gutter="0" w:footer="0" w:header="0"/>
        </w:sectPr>
      </w:pPr>
    </w:p>
    <w:bookmarkStart w:id="84" w:name="page85"/>
    <w:bookmarkEnd w:id="84"/>
    <w:p>
      <w:pPr>
        <w:jc w:val="center"/>
        <w:ind w:right="-99"/>
        <w:spacing w:after="0"/>
        <w:rPr>
          <w:sz w:val="20"/>
          <w:szCs w:val="20"/>
          <w:color w:val="auto"/>
        </w:rPr>
      </w:pPr>
      <w:r>
        <w:rPr>
          <w:rFonts w:ascii="Arial" w:cs="Arial" w:eastAsia="Arial" w:hAnsi="Arial"/>
          <w:sz w:val="14"/>
          <w:szCs w:val="14"/>
          <w:color w:val="auto"/>
        </w:rPr>
        <w:t>Internal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40"/>
        <w:spacing w:after="0" w:line="349" w:lineRule="auto"/>
        <w:rPr>
          <w:sz w:val="20"/>
          <w:szCs w:val="20"/>
          <w:color w:val="auto"/>
        </w:rPr>
      </w:pPr>
      <w:r>
        <w:rPr>
          <w:rFonts w:ascii="Arial" w:cs="Arial" w:eastAsia="Arial" w:hAnsi="Arial"/>
          <w:sz w:val="22"/>
          <w:szCs w:val="22"/>
          <w:color w:val="auto"/>
        </w:rPr>
        <w:t>Unit Award of $186,000, valued at the time of issuance, credited to the Participant’s Account. In addition to the base annual Deferred Stock Unit Award, Participants serving in leadership roles on the Board and/or its committees shall receive the following additional annual Deferred Stock Units: $48,000 for the Lead Director; $24,000 for the Audit Committee Chair; $18,000 for other members of the Audit Committee; $15,000 each for the Chairs of all other committees of the Board. In the event that a Participant serves in more than one role listed above, the Participant shall receive the additional Deferred Stock Unit awards specified for each role. The Annual Deferred Stock Unit Award is subject to change, from time to time, at the discretion of the Committee.</w:t>
      </w:r>
    </w:p>
    <w:p>
      <w:pPr>
        <w:spacing w:after="0" w:line="220" w:lineRule="exact"/>
        <w:rPr>
          <w:sz w:val="20"/>
          <w:szCs w:val="20"/>
          <w:color w:val="auto"/>
        </w:rPr>
      </w:pPr>
    </w:p>
    <w:p>
      <w:pPr>
        <w:ind w:right="40" w:firstLine="1304"/>
        <w:spacing w:after="0" w:line="352" w:lineRule="auto"/>
        <w:tabs>
          <w:tab w:leader="none" w:pos="1939" w:val="left"/>
        </w:tabs>
        <w:numPr>
          <w:ilvl w:val="1"/>
          <w:numId w:val="25"/>
        </w:numPr>
        <w:rPr>
          <w:rFonts w:ascii="Arial" w:cs="Arial" w:eastAsia="Arial" w:hAnsi="Arial"/>
          <w:sz w:val="22"/>
          <w:szCs w:val="22"/>
          <w:color w:val="010000"/>
        </w:rPr>
      </w:pPr>
      <w:r>
        <w:rPr>
          <w:rFonts w:ascii="Arial" w:cs="Arial" w:eastAsia="Arial" w:hAnsi="Arial"/>
          <w:sz w:val="22"/>
          <w:szCs w:val="22"/>
          <w:i w:val="1"/>
          <w:iCs w:val="1"/>
          <w:color w:val="auto"/>
        </w:rPr>
        <w:t xml:space="preserve">New Participants. </w:t>
      </w:r>
      <w:r>
        <w:rPr>
          <w:rFonts w:ascii="Arial" w:cs="Arial" w:eastAsia="Arial" w:hAnsi="Arial"/>
          <w:sz w:val="22"/>
          <w:szCs w:val="22"/>
          <w:color w:val="auto"/>
        </w:rPr>
        <w:t>If a Participant is elected to the Board before September 30 of a Board Cycle, the</w:t>
      </w:r>
      <w:r>
        <w:rPr>
          <w:rFonts w:ascii="Arial" w:cs="Arial" w:eastAsia="Arial" w:hAnsi="Arial"/>
          <w:sz w:val="22"/>
          <w:szCs w:val="22"/>
          <w:i w:val="1"/>
          <w:iCs w:val="1"/>
          <w:color w:val="auto"/>
        </w:rPr>
        <w:t xml:space="preserve"> </w:t>
      </w:r>
      <w:r>
        <w:rPr>
          <w:rFonts w:ascii="Arial" w:cs="Arial" w:eastAsia="Arial" w:hAnsi="Arial"/>
          <w:sz w:val="22"/>
          <w:szCs w:val="22"/>
          <w:color w:val="auto"/>
        </w:rPr>
        <w:t>Participant will receive an Annual Deferred Stock Unit Award equal in value to the amounts specified in subsection (a) above. If a Participant is elected to the Board after September 30 of a Board Cycle, the Participant will receive an Annual Deferred Stock Unit Award equal to 50% of the value specified in subsection (a).</w:t>
      </w:r>
    </w:p>
    <w:p>
      <w:pPr>
        <w:spacing w:after="0" w:line="210" w:lineRule="exact"/>
        <w:rPr>
          <w:rFonts w:ascii="Arial" w:cs="Arial" w:eastAsia="Arial" w:hAnsi="Arial"/>
          <w:sz w:val="22"/>
          <w:szCs w:val="22"/>
          <w:color w:val="010000"/>
        </w:rPr>
      </w:pPr>
    </w:p>
    <w:p>
      <w:pPr>
        <w:ind w:left="560" w:hanging="354"/>
        <w:spacing w:after="0"/>
        <w:tabs>
          <w:tab w:leader="none" w:pos="560" w:val="left"/>
        </w:tabs>
        <w:numPr>
          <w:ilvl w:val="0"/>
          <w:numId w:val="26"/>
        </w:numPr>
        <w:rPr>
          <w:rFonts w:ascii="Arial" w:cs="Arial" w:eastAsia="Arial" w:hAnsi="Arial"/>
          <w:sz w:val="22"/>
          <w:szCs w:val="22"/>
          <w:b w:val="1"/>
          <w:bCs w:val="1"/>
          <w:color w:val="010000"/>
        </w:rPr>
      </w:pPr>
      <w:r>
        <w:rPr>
          <w:rFonts w:ascii="Arial" w:cs="Arial" w:eastAsia="Arial" w:hAnsi="Arial"/>
          <w:sz w:val="22"/>
          <w:szCs w:val="22"/>
          <w:b w:val="1"/>
          <w:bCs w:val="1"/>
          <w:color w:val="auto"/>
        </w:rPr>
        <w:t>New Director Restricted Stock Unit Award</w:t>
      </w:r>
    </w:p>
    <w:p>
      <w:pPr>
        <w:spacing w:after="0" w:line="118" w:lineRule="exact"/>
        <w:rPr>
          <w:sz w:val="20"/>
          <w:szCs w:val="20"/>
          <w:color w:val="auto"/>
        </w:rPr>
      </w:pPr>
    </w:p>
    <w:p>
      <w:pPr>
        <w:ind w:right="120" w:firstLine="648"/>
        <w:spacing w:after="0" w:line="356" w:lineRule="auto"/>
        <w:rPr>
          <w:sz w:val="20"/>
          <w:szCs w:val="20"/>
          <w:color w:val="auto"/>
        </w:rPr>
      </w:pPr>
      <w:r>
        <w:rPr>
          <w:rFonts w:ascii="Arial" w:cs="Arial" w:eastAsia="Arial" w:hAnsi="Arial"/>
          <w:sz w:val="22"/>
          <w:szCs w:val="22"/>
          <w:color w:val="auto"/>
        </w:rPr>
        <w:t>Effective as of October 10, 2019, no further New Director Restricted Stock Unit Awards shall be granted to new Participants. Previously, upon election to the Board, a Participant would receive an unvested award of restricted Deferred Stock Units, equal in value to $100,000 as of such date.</w:t>
      </w:r>
    </w:p>
    <w:p>
      <w:pPr>
        <w:spacing w:after="0" w:line="205" w:lineRule="exact"/>
        <w:rPr>
          <w:sz w:val="20"/>
          <w:szCs w:val="20"/>
          <w:color w:val="auto"/>
        </w:rPr>
      </w:pPr>
    </w:p>
    <w:p>
      <w:pPr>
        <w:ind w:left="560" w:hanging="342"/>
        <w:spacing w:after="0"/>
        <w:tabs>
          <w:tab w:leader="none" w:pos="560" w:val="left"/>
        </w:tabs>
        <w:numPr>
          <w:ilvl w:val="0"/>
          <w:numId w:val="27"/>
        </w:numPr>
        <w:rPr>
          <w:rFonts w:ascii="Arial" w:cs="Arial" w:eastAsia="Arial" w:hAnsi="Arial"/>
          <w:sz w:val="22"/>
          <w:szCs w:val="22"/>
          <w:b w:val="1"/>
          <w:bCs w:val="1"/>
          <w:color w:val="010000"/>
        </w:rPr>
      </w:pPr>
      <w:r>
        <w:rPr>
          <w:rFonts w:ascii="Arial" w:cs="Arial" w:eastAsia="Arial" w:hAnsi="Arial"/>
          <w:sz w:val="22"/>
          <w:szCs w:val="22"/>
          <w:b w:val="1"/>
          <w:bCs w:val="1"/>
          <w:color w:val="auto"/>
        </w:rPr>
        <w:t>Duplication of Benefits</w:t>
      </w:r>
    </w:p>
    <w:p>
      <w:pPr>
        <w:spacing w:after="0" w:line="118" w:lineRule="exact"/>
        <w:rPr>
          <w:sz w:val="20"/>
          <w:szCs w:val="20"/>
          <w:color w:val="auto"/>
        </w:rPr>
      </w:pPr>
    </w:p>
    <w:p>
      <w:pPr>
        <w:ind w:firstLine="648"/>
        <w:spacing w:after="0" w:line="350" w:lineRule="auto"/>
        <w:rPr>
          <w:sz w:val="20"/>
          <w:szCs w:val="20"/>
          <w:color w:val="auto"/>
        </w:rPr>
      </w:pPr>
      <w:r>
        <w:rPr>
          <w:rFonts w:ascii="Arial" w:cs="Arial" w:eastAsia="Arial" w:hAnsi="Arial"/>
          <w:sz w:val="22"/>
          <w:szCs w:val="22"/>
          <w:color w:val="auto"/>
        </w:rPr>
        <w:t xml:space="preserve">To the extent that a new Participant has received compensation for his or her service on the board of directors of an entity that becomes, or was previously, affiliated with the Corporation, and such compensation relates to the same Plan Year for which the Participant shall receive compensation under this Plan, the Annual Retainer and Annual Deferred Stock Unit Award, under </w:t>
      </w:r>
      <w:r>
        <w:rPr>
          <w:rFonts w:ascii="Arial" w:cs="Arial" w:eastAsia="Arial" w:hAnsi="Arial"/>
          <w:sz w:val="22"/>
          <w:szCs w:val="22"/>
          <w:u w:val="single" w:color="auto"/>
          <w:color w:val="auto"/>
        </w:rPr>
        <w:t>Sections 3.01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3.02</w:t>
      </w:r>
      <w:r>
        <w:rPr>
          <w:rFonts w:ascii="Arial" w:cs="Arial" w:eastAsia="Arial" w:hAnsi="Arial"/>
          <w:sz w:val="22"/>
          <w:szCs w:val="22"/>
          <w:color w:val="auto"/>
        </w:rPr>
        <w:t xml:space="preserve"> respectively, shall be appropriately adjusted to prevent a duplication of benefits for the same period of service.</w:t>
      </w:r>
    </w:p>
    <w:p>
      <w:pPr>
        <w:sectPr>
          <w:pgSz w:w="11900" w:h="16838" w:orient="portrait"/>
          <w:cols w:equalWidth="0" w:num="1">
            <w:col w:w="11160"/>
          </w:cols>
          <w:pgMar w:left="320" w:top="144" w:right="419" w:bottom="1440" w:gutter="0" w:footer="0" w:header="0"/>
        </w:sectPr>
      </w:pPr>
    </w:p>
    <w:bookmarkStart w:id="85" w:name="page86"/>
    <w:bookmarkEnd w:id="85"/>
    <w:p>
      <w:pPr>
        <w:jc w:val="center"/>
        <w:ind w:right="-39"/>
        <w:spacing w:after="0"/>
        <w:rPr>
          <w:sz w:val="20"/>
          <w:szCs w:val="20"/>
          <w:color w:val="auto"/>
        </w:rPr>
      </w:pPr>
      <w:r>
        <w:rPr>
          <w:rFonts w:ascii="Arial" w:cs="Arial" w:eastAsia="Arial" w:hAnsi="Arial"/>
          <w:sz w:val="14"/>
          <w:szCs w:val="14"/>
          <w:color w:val="auto"/>
        </w:rPr>
        <w:t>Internal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280"/>
        <w:spacing w:after="0"/>
        <w:rPr>
          <w:sz w:val="20"/>
          <w:szCs w:val="20"/>
          <w:color w:val="auto"/>
        </w:rPr>
      </w:pPr>
      <w:r>
        <w:rPr>
          <w:rFonts w:ascii="Arial" w:cs="Arial" w:eastAsia="Arial" w:hAnsi="Arial"/>
          <w:sz w:val="22"/>
          <w:szCs w:val="22"/>
          <w:b w:val="1"/>
          <w:bCs w:val="1"/>
          <w:color w:val="010000"/>
        </w:rPr>
        <w:t>Article IV.</w:t>
      </w:r>
      <w:r>
        <w:rPr>
          <w:rFonts w:ascii="Arial" w:cs="Arial" w:eastAsia="Arial" w:hAnsi="Arial"/>
          <w:sz w:val="22"/>
          <w:szCs w:val="22"/>
          <w:b w:val="1"/>
          <w:bCs w:val="1"/>
          <w:color w:val="000000"/>
        </w:rPr>
        <w:t>ACCOUNTS AND CREDITS</w:t>
      </w:r>
    </w:p>
    <w:p>
      <w:pPr>
        <w:spacing w:after="0" w:line="355" w:lineRule="exact"/>
        <w:rPr>
          <w:sz w:val="20"/>
          <w:szCs w:val="20"/>
          <w:color w:val="auto"/>
        </w:rPr>
      </w:pPr>
    </w:p>
    <w:p>
      <w:pPr>
        <w:ind w:left="560" w:hanging="234"/>
        <w:spacing w:after="0"/>
        <w:tabs>
          <w:tab w:leader="none" w:pos="560" w:val="left"/>
        </w:tabs>
        <w:numPr>
          <w:ilvl w:val="0"/>
          <w:numId w:val="28"/>
        </w:numPr>
        <w:rPr>
          <w:rFonts w:ascii="Arial" w:cs="Arial" w:eastAsia="Arial" w:hAnsi="Arial"/>
          <w:sz w:val="22"/>
          <w:szCs w:val="22"/>
          <w:b w:val="1"/>
          <w:bCs w:val="1"/>
          <w:color w:val="010000"/>
        </w:rPr>
      </w:pPr>
      <w:r>
        <w:rPr>
          <w:rFonts w:ascii="Arial" w:cs="Arial" w:eastAsia="Arial" w:hAnsi="Arial"/>
          <w:sz w:val="22"/>
          <w:szCs w:val="22"/>
          <w:b w:val="1"/>
          <w:bCs w:val="1"/>
          <w:color w:val="auto"/>
        </w:rPr>
        <w:t>Annual Deferred Stock Unit Award</w:t>
      </w:r>
    </w:p>
    <w:p>
      <w:pPr>
        <w:spacing w:after="0" w:line="118" w:lineRule="exact"/>
        <w:rPr>
          <w:sz w:val="20"/>
          <w:szCs w:val="20"/>
          <w:color w:val="auto"/>
        </w:rPr>
      </w:pPr>
    </w:p>
    <w:p>
      <w:pPr>
        <w:ind w:right="320" w:firstLine="648"/>
        <w:spacing w:after="0" w:line="356" w:lineRule="auto"/>
        <w:rPr>
          <w:sz w:val="20"/>
          <w:szCs w:val="20"/>
          <w:color w:val="auto"/>
        </w:rPr>
      </w:pPr>
      <w:r>
        <w:rPr>
          <w:rFonts w:ascii="Arial" w:cs="Arial" w:eastAsia="Arial" w:hAnsi="Arial"/>
          <w:sz w:val="22"/>
          <w:szCs w:val="22"/>
          <w:color w:val="auto"/>
        </w:rPr>
        <w:t>The Annual Deferred Stock Unit Award shall be credited automatically to an Account established for the Participant, effective as of the date of the Annual Meeting. Participants may not elect to receive the Annual Deferred Stock Unit Award as current cash compensation.</w:t>
      </w:r>
    </w:p>
    <w:p>
      <w:pPr>
        <w:spacing w:after="0" w:line="205" w:lineRule="exact"/>
        <w:rPr>
          <w:sz w:val="20"/>
          <w:szCs w:val="20"/>
          <w:color w:val="auto"/>
        </w:rPr>
      </w:pPr>
    </w:p>
    <w:p>
      <w:pPr>
        <w:ind w:left="560" w:hanging="294"/>
        <w:spacing w:after="0"/>
        <w:tabs>
          <w:tab w:leader="none" w:pos="560" w:val="left"/>
        </w:tabs>
        <w:numPr>
          <w:ilvl w:val="0"/>
          <w:numId w:val="29"/>
        </w:numPr>
        <w:rPr>
          <w:rFonts w:ascii="Arial" w:cs="Arial" w:eastAsia="Arial" w:hAnsi="Arial"/>
          <w:sz w:val="22"/>
          <w:szCs w:val="22"/>
          <w:b w:val="1"/>
          <w:bCs w:val="1"/>
          <w:color w:val="010000"/>
        </w:rPr>
      </w:pPr>
      <w:r>
        <w:rPr>
          <w:rFonts w:ascii="Arial" w:cs="Arial" w:eastAsia="Arial" w:hAnsi="Arial"/>
          <w:sz w:val="22"/>
          <w:szCs w:val="22"/>
          <w:b w:val="1"/>
          <w:bCs w:val="1"/>
          <w:color w:val="auto"/>
        </w:rPr>
        <w:t>Elective Annual Retainer</w:t>
      </w:r>
    </w:p>
    <w:p>
      <w:pPr>
        <w:spacing w:after="0" w:line="118" w:lineRule="exact"/>
        <w:rPr>
          <w:sz w:val="20"/>
          <w:szCs w:val="20"/>
          <w:color w:val="auto"/>
        </w:rPr>
      </w:pPr>
    </w:p>
    <w:p>
      <w:pPr>
        <w:jc w:val="both"/>
        <w:ind w:right="360" w:firstLine="648"/>
        <w:spacing w:after="0" w:line="356" w:lineRule="auto"/>
        <w:rPr>
          <w:sz w:val="20"/>
          <w:szCs w:val="20"/>
          <w:color w:val="auto"/>
        </w:rPr>
      </w:pPr>
      <w:r>
        <w:rPr>
          <w:rFonts w:ascii="Arial" w:cs="Arial" w:eastAsia="Arial" w:hAnsi="Arial"/>
          <w:sz w:val="22"/>
          <w:szCs w:val="22"/>
          <w:color w:val="auto"/>
        </w:rPr>
        <w:t xml:space="preserve">The Annual Retainer will be paid on the date of the Annual Meeting unless the Participant makes a timely irrevocable election in accordance with </w:t>
      </w:r>
      <w:r>
        <w:rPr>
          <w:rFonts w:ascii="Arial" w:cs="Arial" w:eastAsia="Arial" w:hAnsi="Arial"/>
          <w:sz w:val="22"/>
          <w:szCs w:val="22"/>
          <w:u w:val="single" w:color="auto"/>
          <w:color w:val="auto"/>
        </w:rPr>
        <w:t>Article V</w:t>
      </w:r>
      <w:r>
        <w:rPr>
          <w:rFonts w:ascii="Arial" w:cs="Arial" w:eastAsia="Arial" w:hAnsi="Arial"/>
          <w:sz w:val="22"/>
          <w:szCs w:val="22"/>
          <w:color w:val="auto"/>
        </w:rPr>
        <w:t xml:space="preserve"> to defer the receipt of the Annual Retainer as UTC Deferred Stock Units subject to the terms of this Plan, in lieu of a current cash payment.</w:t>
      </w:r>
    </w:p>
    <w:p>
      <w:pPr>
        <w:spacing w:after="0" w:line="205" w:lineRule="exact"/>
        <w:rPr>
          <w:sz w:val="20"/>
          <w:szCs w:val="20"/>
          <w:color w:val="auto"/>
        </w:rPr>
      </w:pPr>
    </w:p>
    <w:p>
      <w:pPr>
        <w:ind w:left="560" w:hanging="354"/>
        <w:spacing w:after="0"/>
        <w:tabs>
          <w:tab w:leader="none" w:pos="560" w:val="left"/>
        </w:tabs>
        <w:numPr>
          <w:ilvl w:val="0"/>
          <w:numId w:val="30"/>
        </w:numPr>
        <w:rPr>
          <w:rFonts w:ascii="Arial" w:cs="Arial" w:eastAsia="Arial" w:hAnsi="Arial"/>
          <w:sz w:val="22"/>
          <w:szCs w:val="22"/>
          <w:b w:val="1"/>
          <w:bCs w:val="1"/>
          <w:color w:val="010000"/>
        </w:rPr>
      </w:pPr>
      <w:r>
        <w:rPr>
          <w:rFonts w:ascii="Arial" w:cs="Arial" w:eastAsia="Arial" w:hAnsi="Arial"/>
          <w:sz w:val="22"/>
          <w:szCs w:val="22"/>
          <w:b w:val="1"/>
          <w:bCs w:val="1"/>
          <w:color w:val="auto"/>
        </w:rPr>
        <w:t>New Director Restricted Stock Unit Award</w:t>
      </w:r>
    </w:p>
    <w:p>
      <w:pPr>
        <w:spacing w:after="0" w:line="117" w:lineRule="exact"/>
        <w:rPr>
          <w:rFonts w:ascii="Arial" w:cs="Arial" w:eastAsia="Arial" w:hAnsi="Arial"/>
          <w:sz w:val="22"/>
          <w:szCs w:val="22"/>
          <w:b w:val="1"/>
          <w:bCs w:val="1"/>
          <w:color w:val="010000"/>
        </w:rPr>
      </w:pPr>
    </w:p>
    <w:p>
      <w:pPr>
        <w:ind w:right="160" w:firstLine="1304"/>
        <w:spacing w:after="0" w:line="373" w:lineRule="auto"/>
        <w:tabs>
          <w:tab w:leader="none" w:pos="1939" w:val="left"/>
        </w:tabs>
        <w:numPr>
          <w:ilvl w:val="1"/>
          <w:numId w:val="30"/>
        </w:numPr>
        <w:rPr>
          <w:rFonts w:ascii="Arial" w:cs="Arial" w:eastAsia="Arial" w:hAnsi="Arial"/>
          <w:sz w:val="21"/>
          <w:szCs w:val="21"/>
          <w:color w:val="010000"/>
        </w:rPr>
      </w:pPr>
      <w:r>
        <w:rPr>
          <w:rFonts w:ascii="Arial" w:cs="Arial" w:eastAsia="Arial" w:hAnsi="Arial"/>
          <w:sz w:val="21"/>
          <w:szCs w:val="21"/>
          <w:i w:val="1"/>
          <w:iCs w:val="1"/>
          <w:color w:val="auto"/>
        </w:rPr>
        <w:t xml:space="preserve">Prospective Elimination of New Director Restricted Stock Unit Award. </w:t>
      </w:r>
      <w:r>
        <w:rPr>
          <w:rFonts w:ascii="Arial" w:cs="Arial" w:eastAsia="Arial" w:hAnsi="Arial"/>
          <w:sz w:val="21"/>
          <w:szCs w:val="21"/>
          <w:color w:val="auto"/>
        </w:rPr>
        <w:t>Effective as October 10, 2019, the</w:t>
      </w:r>
      <w:r>
        <w:rPr>
          <w:rFonts w:ascii="Arial" w:cs="Arial" w:eastAsia="Arial" w:hAnsi="Arial"/>
          <w:sz w:val="21"/>
          <w:szCs w:val="21"/>
          <w:i w:val="1"/>
          <w:iCs w:val="1"/>
          <w:color w:val="auto"/>
        </w:rPr>
        <w:t xml:space="preserve"> </w:t>
      </w:r>
      <w:r>
        <w:rPr>
          <w:rFonts w:ascii="Arial" w:cs="Arial" w:eastAsia="Arial" w:hAnsi="Arial"/>
          <w:sz w:val="21"/>
          <w:szCs w:val="21"/>
          <w:color w:val="auto"/>
        </w:rPr>
        <w:t>New Director Restricted Stock Unit Award shall no longer be awarded to new Participants. Previously, upon the Participant’s election to the Board, the Corporation would credit the amount of the New Director Restricted Stock Unit Award to a New Director Restricted Stock Unit Account established for a Participant.</w:t>
      </w:r>
    </w:p>
    <w:p>
      <w:pPr>
        <w:spacing w:after="0" w:line="199" w:lineRule="exact"/>
        <w:rPr>
          <w:rFonts w:ascii="Arial" w:cs="Arial" w:eastAsia="Arial" w:hAnsi="Arial"/>
          <w:sz w:val="21"/>
          <w:szCs w:val="21"/>
          <w:color w:val="010000"/>
        </w:rPr>
      </w:pPr>
    </w:p>
    <w:p>
      <w:pPr>
        <w:ind w:firstLine="1304"/>
        <w:spacing w:after="0" w:line="349" w:lineRule="auto"/>
        <w:tabs>
          <w:tab w:leader="none" w:pos="1939" w:val="left"/>
        </w:tabs>
        <w:numPr>
          <w:ilvl w:val="1"/>
          <w:numId w:val="30"/>
        </w:numPr>
        <w:rPr>
          <w:rFonts w:ascii="Arial" w:cs="Arial" w:eastAsia="Arial" w:hAnsi="Arial"/>
          <w:sz w:val="22"/>
          <w:szCs w:val="22"/>
          <w:color w:val="010000"/>
        </w:rPr>
      </w:pPr>
      <w:r>
        <w:rPr>
          <w:rFonts w:ascii="Arial" w:cs="Arial" w:eastAsia="Arial" w:hAnsi="Arial"/>
          <w:sz w:val="22"/>
          <w:szCs w:val="22"/>
          <w:i w:val="1"/>
          <w:iCs w:val="1"/>
          <w:color w:val="auto"/>
        </w:rPr>
        <w:t xml:space="preserve">Historical New Director Restricted Stock Unit Awards. </w:t>
      </w:r>
      <w:r>
        <w:rPr>
          <w:rFonts w:ascii="Arial" w:cs="Arial" w:eastAsia="Arial" w:hAnsi="Arial"/>
          <w:sz w:val="22"/>
          <w:szCs w:val="22"/>
          <w:color w:val="auto"/>
        </w:rPr>
        <w:t>Any New Director Restricted Stock Unit Award</w:t>
      </w:r>
      <w:r>
        <w:rPr>
          <w:rFonts w:ascii="Arial" w:cs="Arial" w:eastAsia="Arial" w:hAnsi="Arial"/>
          <w:sz w:val="22"/>
          <w:szCs w:val="22"/>
          <w:i w:val="1"/>
          <w:iCs w:val="1"/>
          <w:color w:val="auto"/>
        </w:rPr>
        <w:t xml:space="preserve"> </w:t>
      </w:r>
      <w:r>
        <w:rPr>
          <w:rFonts w:ascii="Arial" w:cs="Arial" w:eastAsia="Arial" w:hAnsi="Arial"/>
          <w:sz w:val="22"/>
          <w:szCs w:val="22"/>
          <w:color w:val="auto"/>
        </w:rPr>
        <w:t>granted prior to October 10, 2019 shall be maintained under a separate Account and remain eligible to vest as provided in this Section 4.03. Such Account shall be credited with dividend equivalents in the form of additional Deferred Stock Units which relate to the underlying common stock of UTC, Carrier and Otis as applicable, which will vest immediately, but will otherwise be subject to the same restrictions applicable to the Deferred Stock Units credited to the Account. New Director Restricted Stock Units and any additional dividend equivalents in the form of additional Deferred Stock Units may not be settled prior to a Separation from Service.</w:t>
      </w:r>
    </w:p>
    <w:p>
      <w:pPr>
        <w:sectPr>
          <w:pgSz w:w="11900" w:h="16838" w:orient="portrait"/>
          <w:cols w:equalWidth="0" w:num="1">
            <w:col w:w="11200"/>
          </w:cols>
          <w:pgMar w:left="320" w:top="144" w:right="379" w:bottom="1440" w:gutter="0" w:footer="0" w:header="0"/>
        </w:sectPr>
      </w:pPr>
    </w:p>
    <w:bookmarkStart w:id="86" w:name="page87"/>
    <w:bookmarkEnd w:id="86"/>
    <w:p>
      <w:pPr>
        <w:jc w:val="center"/>
        <w:spacing w:after="0"/>
        <w:rPr>
          <w:sz w:val="20"/>
          <w:szCs w:val="20"/>
          <w:color w:val="auto"/>
        </w:rPr>
      </w:pPr>
      <w:r>
        <w:rPr>
          <w:rFonts w:ascii="Arial" w:cs="Arial" w:eastAsia="Arial" w:hAnsi="Arial"/>
          <w:sz w:val="14"/>
          <w:szCs w:val="14"/>
          <w:color w:val="auto"/>
        </w:rPr>
        <w:t>Internal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 w:right="80" w:firstLine="1304"/>
        <w:spacing w:after="0" w:line="408" w:lineRule="auto"/>
        <w:tabs>
          <w:tab w:leader="none" w:pos="1919" w:val="left"/>
        </w:tabs>
        <w:numPr>
          <w:ilvl w:val="1"/>
          <w:numId w:val="31"/>
        </w:numPr>
        <w:rPr>
          <w:rFonts w:ascii="Arial" w:cs="Arial" w:eastAsia="Arial" w:hAnsi="Arial"/>
          <w:sz w:val="19"/>
          <w:szCs w:val="19"/>
          <w:color w:val="010000"/>
        </w:rPr>
      </w:pPr>
      <w:r>
        <w:rPr>
          <w:rFonts w:ascii="Arial" w:cs="Arial" w:eastAsia="Arial" w:hAnsi="Arial"/>
          <w:sz w:val="19"/>
          <w:szCs w:val="19"/>
          <w:i w:val="1"/>
          <w:iCs w:val="1"/>
          <w:color w:val="auto"/>
        </w:rPr>
        <w:t>Forfeiture of New Director Restricted Stock Unit Accounts</w:t>
      </w:r>
      <w:r>
        <w:rPr>
          <w:rFonts w:ascii="Arial" w:cs="Arial" w:eastAsia="Arial" w:hAnsi="Arial"/>
          <w:sz w:val="19"/>
          <w:szCs w:val="19"/>
          <w:color w:val="auto"/>
        </w:rPr>
        <w:t>. A Participant’s New Director Restricted Stock</w:t>
      </w:r>
      <w:r>
        <w:rPr>
          <w:rFonts w:ascii="Arial" w:cs="Arial" w:eastAsia="Arial" w:hAnsi="Arial"/>
          <w:sz w:val="19"/>
          <w:szCs w:val="19"/>
          <w:i w:val="1"/>
          <w:iCs w:val="1"/>
          <w:color w:val="auto"/>
        </w:rPr>
        <w:t xml:space="preserve"> </w:t>
      </w:r>
      <w:r>
        <w:rPr>
          <w:rFonts w:ascii="Arial" w:cs="Arial" w:eastAsia="Arial" w:hAnsi="Arial"/>
          <w:sz w:val="19"/>
          <w:szCs w:val="19"/>
          <w:color w:val="auto"/>
        </w:rPr>
        <w:t>Unit Account is subject to 100% forfeiture if the Participant’s Separation from Service occurs before the first Annual Meeting following the date of the Participant’s first election to the Board. Thereafter, the percentage of the New Director Restricted Stock Unit Award subject to forfeiture is reduced by 20 percentage points as of the date of each succeeding Annual Meeting until the fifth annual meeting when 100% of the value of the New Director Restricted Stock Unit Award will be vested. There will be no forfeiture of interest in the New Director Restricted Stock Unit Account in the event the Separation of Service occurs by reason of the Participant’s death, Disability, or for any reason following a “Change in Control” as such terms are defined in the LTIP while the Participant is a member of the Board, or in the event of the Participant’s resignation or retirement from the Board for the purpose of accepting full-time employment in public or charitable service.</w:t>
      </w:r>
    </w:p>
    <w:p>
      <w:pPr>
        <w:spacing w:after="0" w:line="174" w:lineRule="exact"/>
        <w:rPr>
          <w:rFonts w:ascii="Arial" w:cs="Arial" w:eastAsia="Arial" w:hAnsi="Arial"/>
          <w:sz w:val="19"/>
          <w:szCs w:val="19"/>
          <w:color w:val="010000"/>
        </w:rPr>
      </w:pPr>
    </w:p>
    <w:p>
      <w:pPr>
        <w:ind w:left="540" w:hanging="342"/>
        <w:spacing w:after="0"/>
        <w:tabs>
          <w:tab w:leader="none" w:pos="540" w:val="left"/>
        </w:tabs>
        <w:numPr>
          <w:ilvl w:val="0"/>
          <w:numId w:val="32"/>
        </w:numPr>
        <w:rPr>
          <w:rFonts w:ascii="Arial" w:cs="Arial" w:eastAsia="Arial" w:hAnsi="Arial"/>
          <w:sz w:val="22"/>
          <w:szCs w:val="22"/>
          <w:b w:val="1"/>
          <w:bCs w:val="1"/>
          <w:color w:val="010000"/>
        </w:rPr>
      </w:pPr>
      <w:r>
        <w:rPr>
          <w:rFonts w:ascii="Arial" w:cs="Arial" w:eastAsia="Arial" w:hAnsi="Arial"/>
          <w:sz w:val="22"/>
          <w:szCs w:val="22"/>
          <w:b w:val="1"/>
          <w:bCs w:val="1"/>
          <w:color w:val="auto"/>
        </w:rPr>
        <w:t>Accounts</w:t>
      </w:r>
    </w:p>
    <w:p>
      <w:pPr>
        <w:spacing w:after="0" w:line="117" w:lineRule="exact"/>
        <w:rPr>
          <w:rFonts w:ascii="Arial" w:cs="Arial" w:eastAsia="Arial" w:hAnsi="Arial"/>
          <w:sz w:val="22"/>
          <w:szCs w:val="22"/>
          <w:b w:val="1"/>
          <w:bCs w:val="1"/>
          <w:color w:val="010000"/>
        </w:rPr>
      </w:pPr>
    </w:p>
    <w:p>
      <w:pPr>
        <w:ind w:left="-20" w:right="100" w:firstLine="1304"/>
        <w:spacing w:after="0" w:line="350" w:lineRule="auto"/>
        <w:tabs>
          <w:tab w:leader="none" w:pos="1919" w:val="left"/>
        </w:tabs>
        <w:numPr>
          <w:ilvl w:val="1"/>
          <w:numId w:val="32"/>
        </w:numPr>
        <w:rPr>
          <w:rFonts w:ascii="Arial" w:cs="Arial" w:eastAsia="Arial" w:hAnsi="Arial"/>
          <w:sz w:val="22"/>
          <w:szCs w:val="22"/>
          <w:color w:val="010000"/>
        </w:rPr>
      </w:pPr>
      <w:r>
        <w:rPr>
          <w:rFonts w:ascii="Arial" w:cs="Arial" w:eastAsia="Arial" w:hAnsi="Arial"/>
          <w:sz w:val="22"/>
          <w:szCs w:val="22"/>
          <w:i w:val="1"/>
          <w:iCs w:val="1"/>
          <w:color w:val="auto"/>
        </w:rPr>
        <w:t xml:space="preserve">Plan Accounts. </w:t>
      </w:r>
      <w:r>
        <w:rPr>
          <w:rFonts w:ascii="Arial" w:cs="Arial" w:eastAsia="Arial" w:hAnsi="Arial"/>
          <w:sz w:val="22"/>
          <w:szCs w:val="22"/>
          <w:color w:val="auto"/>
        </w:rPr>
        <w:t>All (i) Deferred Annual Retainers and (ii) Annual Deferred Stock Unit Awards and (iii)</w:t>
      </w:r>
      <w:r>
        <w:rPr>
          <w:rFonts w:ascii="Arial" w:cs="Arial" w:eastAsia="Arial" w:hAnsi="Arial"/>
          <w:sz w:val="22"/>
          <w:szCs w:val="22"/>
          <w:i w:val="1"/>
          <w:iCs w:val="1"/>
          <w:color w:val="auto"/>
        </w:rPr>
        <w:t xml:space="preserve"> </w:t>
      </w:r>
      <w:r>
        <w:rPr>
          <w:rFonts w:ascii="Arial" w:cs="Arial" w:eastAsia="Arial" w:hAnsi="Arial"/>
          <w:sz w:val="22"/>
          <w:szCs w:val="22"/>
          <w:color w:val="auto"/>
        </w:rPr>
        <w:t>New Director Restricted Stock Unit Awards (if applicable), shall be maintained in a Participant’s Account established under, and subject to the terms and conditions of the Plan, as amended from time to time. Subaccounts may be maintained within Participants’ Accounts, to the extent that the Committee determines such an arrangement to be necessary or useful, in the administration of the Plan.</w:t>
      </w:r>
    </w:p>
    <w:p>
      <w:pPr>
        <w:spacing w:after="0" w:line="220" w:lineRule="exact"/>
        <w:rPr>
          <w:rFonts w:ascii="Arial" w:cs="Arial" w:eastAsia="Arial" w:hAnsi="Arial"/>
          <w:sz w:val="22"/>
          <w:szCs w:val="22"/>
          <w:color w:val="010000"/>
        </w:rPr>
      </w:pPr>
    </w:p>
    <w:p>
      <w:pPr>
        <w:ind w:left="-20" w:firstLine="1304"/>
        <w:spacing w:after="0" w:line="410" w:lineRule="auto"/>
        <w:tabs>
          <w:tab w:leader="none" w:pos="1919" w:val="left"/>
        </w:tabs>
        <w:numPr>
          <w:ilvl w:val="1"/>
          <w:numId w:val="32"/>
        </w:numPr>
        <w:rPr>
          <w:rFonts w:ascii="Arial" w:cs="Arial" w:eastAsia="Arial" w:hAnsi="Arial"/>
          <w:sz w:val="19"/>
          <w:szCs w:val="19"/>
          <w:color w:val="010000"/>
        </w:rPr>
      </w:pPr>
      <w:r>
        <w:rPr>
          <w:rFonts w:ascii="Arial" w:cs="Arial" w:eastAsia="Arial" w:hAnsi="Arial"/>
          <w:sz w:val="19"/>
          <w:szCs w:val="19"/>
          <w:i w:val="1"/>
          <w:iCs w:val="1"/>
          <w:color w:val="auto"/>
        </w:rPr>
        <w:t xml:space="preserve">Prior Plan Accounts. </w:t>
      </w:r>
      <w:r>
        <w:rPr>
          <w:rFonts w:ascii="Arial" w:cs="Arial" w:eastAsia="Arial" w:hAnsi="Arial"/>
          <w:sz w:val="19"/>
          <w:szCs w:val="19"/>
          <w:color w:val="auto"/>
        </w:rPr>
        <w:t>All Deferred Stock Unit and New Director Restricted Stock Unit Awards, earned and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vested prior to January 1, 2005, and any subsequent increases in these amounts that are permitted to be treated as grandfathered benefits under Section 409A (e.g., increases in unit value and dividend equivalents), shall be maintained in separate account(s) under the Prior Plan and shall remain subject to the terms and conditions of the Prior Plan as in effect on October 3, 2004. Prior Plan accounts shall be equal to the value earned and vested on December 31, 2004, as subsequently adjusted in accordance with the terms of the Prior Plan. The Prior Plan and Prior Plan accounts are not intended to be subject to Section 409A. No amendment to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that would constitute a “material modification”</w:t>
      </w:r>
    </w:p>
    <w:p>
      <w:pPr>
        <w:sectPr>
          <w:pgSz w:w="11900" w:h="16838" w:orient="portrait"/>
          <w:cols w:equalWidth="0" w:num="1">
            <w:col w:w="11220"/>
          </w:cols>
          <w:pgMar w:left="340" w:top="144" w:right="33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4"/>
          <w:szCs w:val="14"/>
          <w:color w:val="auto"/>
        </w:rPr>
        <w:t>Internal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440"/>
        <w:spacing w:after="0" w:line="366" w:lineRule="auto"/>
        <w:rPr>
          <w:sz w:val="20"/>
          <w:szCs w:val="20"/>
          <w:color w:val="auto"/>
        </w:rPr>
      </w:pPr>
      <w:r>
        <w:rPr>
          <w:rFonts w:ascii="Arial" w:cs="Arial" w:eastAsia="Arial" w:hAnsi="Arial"/>
          <w:sz w:val="22"/>
          <w:szCs w:val="22"/>
          <w:color w:val="auto"/>
        </w:rPr>
        <w:t xml:space="preserve">for purposes of Section 409A shall be effective unless the amending instrument states that it is intended to materially modify </w:t>
      </w:r>
      <w:r>
        <w:rPr>
          <w:rFonts w:ascii="Arial" w:cs="Arial" w:eastAsia="Arial" w:hAnsi="Arial"/>
          <w:sz w:val="22"/>
          <w:szCs w:val="22"/>
          <w:u w:val="single" w:color="auto"/>
          <w:color w:val="auto"/>
        </w:rPr>
        <w:t>Appendix A</w:t>
      </w:r>
      <w:r>
        <w:rPr>
          <w:rFonts w:ascii="Arial" w:cs="Arial" w:eastAsia="Arial" w:hAnsi="Arial"/>
          <w:sz w:val="22"/>
          <w:szCs w:val="22"/>
          <w:color w:val="auto"/>
        </w:rPr>
        <w:t>, and to cause the Prior Plan to become subject to Section 409A.</w:t>
      </w:r>
    </w:p>
    <w:p>
      <w:pPr>
        <w:spacing w:after="0" w:line="194" w:lineRule="exact"/>
        <w:rPr>
          <w:sz w:val="20"/>
          <w:szCs w:val="20"/>
          <w:color w:val="auto"/>
        </w:rPr>
      </w:pPr>
    </w:p>
    <w:p>
      <w:pPr>
        <w:ind w:left="560" w:hanging="282"/>
        <w:spacing w:after="0"/>
        <w:tabs>
          <w:tab w:leader="none" w:pos="560" w:val="left"/>
        </w:tabs>
        <w:numPr>
          <w:ilvl w:val="0"/>
          <w:numId w:val="33"/>
        </w:numPr>
        <w:rPr>
          <w:rFonts w:ascii="Arial" w:cs="Arial" w:eastAsia="Arial" w:hAnsi="Arial"/>
          <w:sz w:val="22"/>
          <w:szCs w:val="22"/>
          <w:b w:val="1"/>
          <w:bCs w:val="1"/>
          <w:color w:val="010000"/>
        </w:rPr>
      </w:pPr>
      <w:r>
        <w:rPr>
          <w:rFonts w:ascii="Arial" w:cs="Arial" w:eastAsia="Arial" w:hAnsi="Arial"/>
          <w:sz w:val="22"/>
          <w:szCs w:val="22"/>
          <w:b w:val="1"/>
          <w:bCs w:val="1"/>
          <w:color w:val="auto"/>
        </w:rPr>
        <w:t>Deferred Stock Unit Accounts</w:t>
      </w:r>
    </w:p>
    <w:p>
      <w:pPr>
        <w:spacing w:after="0" w:line="117" w:lineRule="exact"/>
        <w:rPr>
          <w:rFonts w:ascii="Arial" w:cs="Arial" w:eastAsia="Arial" w:hAnsi="Arial"/>
          <w:sz w:val="22"/>
          <w:szCs w:val="22"/>
          <w:b w:val="1"/>
          <w:bCs w:val="1"/>
          <w:color w:val="010000"/>
        </w:rPr>
      </w:pPr>
    </w:p>
    <w:p>
      <w:pPr>
        <w:ind w:right="180" w:firstLine="1304"/>
        <w:spacing w:after="0" w:line="362" w:lineRule="auto"/>
        <w:tabs>
          <w:tab w:leader="none" w:pos="1939" w:val="left"/>
        </w:tabs>
        <w:numPr>
          <w:ilvl w:val="1"/>
          <w:numId w:val="33"/>
        </w:numPr>
        <w:rPr>
          <w:rFonts w:ascii="Arial" w:cs="Arial" w:eastAsia="Arial" w:hAnsi="Arial"/>
          <w:sz w:val="21"/>
          <w:szCs w:val="21"/>
          <w:color w:val="010000"/>
        </w:rPr>
      </w:pPr>
      <w:r>
        <w:rPr>
          <w:rFonts w:ascii="Arial" w:cs="Arial" w:eastAsia="Arial" w:hAnsi="Arial"/>
          <w:sz w:val="21"/>
          <w:szCs w:val="21"/>
          <w:i w:val="1"/>
          <w:iCs w:val="1"/>
          <w:color w:val="auto"/>
        </w:rPr>
        <w:t>Calculation of Deferred Stock Units</w:t>
      </w:r>
      <w:r>
        <w:rPr>
          <w:rFonts w:ascii="Arial" w:cs="Arial" w:eastAsia="Arial" w:hAnsi="Arial"/>
          <w:sz w:val="21"/>
          <w:szCs w:val="21"/>
          <w:color w:val="auto"/>
        </w:rPr>
        <w:t>. A Participant’s Account (including a New Director Restricted Stock</w:t>
      </w:r>
      <w:r>
        <w:rPr>
          <w:rFonts w:ascii="Arial" w:cs="Arial" w:eastAsia="Arial" w:hAnsi="Arial"/>
          <w:sz w:val="21"/>
          <w:szCs w:val="21"/>
          <w:i w:val="1"/>
          <w:iCs w:val="1"/>
          <w:color w:val="auto"/>
        </w:rPr>
        <w:t xml:space="preserve"> </w:t>
      </w:r>
      <w:r>
        <w:rPr>
          <w:rFonts w:ascii="Arial" w:cs="Arial" w:eastAsia="Arial" w:hAnsi="Arial"/>
          <w:sz w:val="21"/>
          <w:szCs w:val="21"/>
          <w:color w:val="auto"/>
        </w:rPr>
        <w:t>Unit Account) shall be credited with the number of Deferred Stock Units in accordance with the following rules:</w:t>
      </w:r>
    </w:p>
    <w:p>
      <w:pPr>
        <w:ind w:left="660" w:firstLine="1292"/>
        <w:spacing w:after="0" w:line="349" w:lineRule="auto"/>
        <w:tabs>
          <w:tab w:leader="none" w:pos="2601" w:val="left"/>
        </w:tabs>
        <w:numPr>
          <w:ilvl w:val="2"/>
          <w:numId w:val="33"/>
        </w:numPr>
        <w:rPr>
          <w:rFonts w:ascii="Arial" w:cs="Arial" w:eastAsia="Arial" w:hAnsi="Arial"/>
          <w:sz w:val="22"/>
          <w:szCs w:val="22"/>
          <w:color w:val="010000"/>
        </w:rPr>
      </w:pPr>
      <w:r>
        <w:rPr>
          <w:rFonts w:ascii="Arial" w:cs="Arial" w:eastAsia="Arial" w:hAnsi="Arial"/>
          <w:sz w:val="22"/>
          <w:szCs w:val="22"/>
          <w:i w:val="1"/>
          <w:iCs w:val="1"/>
          <w:color w:val="auto"/>
        </w:rPr>
        <w:t xml:space="preserve">Initial Crediting of Deferred Stock Units. </w:t>
      </w:r>
      <w:r>
        <w:rPr>
          <w:rFonts w:ascii="Arial" w:cs="Arial" w:eastAsia="Arial" w:hAnsi="Arial"/>
          <w:sz w:val="22"/>
          <w:szCs w:val="22"/>
          <w:color w:val="auto"/>
        </w:rPr>
        <w:t>The Annual Deferred Stock Unit Award, Deferred Annual</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Retainer (if any), and the New Director Restricted Stock Unit Award (if applicable) credited to a Participant’s Account for a Plan Year under </w:t>
      </w:r>
      <w:r>
        <w:rPr>
          <w:rFonts w:ascii="Arial" w:cs="Arial" w:eastAsia="Arial" w:hAnsi="Arial"/>
          <w:sz w:val="22"/>
          <w:szCs w:val="22"/>
          <w:u w:val="single" w:color="auto"/>
          <w:color w:val="auto"/>
        </w:rPr>
        <w:t>Sections 4.01, 4.02 and 4.03</w:t>
      </w:r>
      <w:r>
        <w:rPr>
          <w:rFonts w:ascii="Arial" w:cs="Arial" w:eastAsia="Arial" w:hAnsi="Arial"/>
          <w:sz w:val="22"/>
          <w:szCs w:val="22"/>
          <w:color w:val="auto"/>
        </w:rPr>
        <w:t xml:space="preserve"> shall result in a number of Deferred Stock Units (including fractional Deferred Stock Units) credited to the Participant’s Account equal to the sum of the dollar amounts of the Annual Deferred Stock Unit Award, the Deferred Annual Retainer (if any) and the New Director Restricted Stock Unit Award (if applicable), divided by the Closing Price on the date of the Annual Meeting or the date a Participant is elected to the Board, if applicable.</w:t>
      </w:r>
    </w:p>
    <w:p>
      <w:pPr>
        <w:spacing w:after="0" w:line="219" w:lineRule="exact"/>
        <w:rPr>
          <w:rFonts w:ascii="Arial" w:cs="Arial" w:eastAsia="Arial" w:hAnsi="Arial"/>
          <w:sz w:val="22"/>
          <w:szCs w:val="22"/>
          <w:color w:val="010000"/>
        </w:rPr>
      </w:pPr>
    </w:p>
    <w:p>
      <w:pPr>
        <w:ind w:left="660" w:firstLine="1292"/>
        <w:spacing w:after="0" w:line="408" w:lineRule="auto"/>
        <w:tabs>
          <w:tab w:leader="none" w:pos="2599" w:val="left"/>
        </w:tabs>
        <w:numPr>
          <w:ilvl w:val="2"/>
          <w:numId w:val="33"/>
        </w:numPr>
        <w:rPr>
          <w:rFonts w:ascii="Arial" w:cs="Arial" w:eastAsia="Arial" w:hAnsi="Arial"/>
          <w:sz w:val="19"/>
          <w:szCs w:val="19"/>
          <w:color w:val="010000"/>
        </w:rPr>
      </w:pPr>
      <w:r>
        <w:rPr>
          <w:rFonts w:ascii="Arial" w:cs="Arial" w:eastAsia="Arial" w:hAnsi="Arial"/>
          <w:sz w:val="19"/>
          <w:szCs w:val="19"/>
          <w:i w:val="1"/>
          <w:iCs w:val="1"/>
          <w:color w:val="auto"/>
        </w:rPr>
        <w:t xml:space="preserve">Deemed Reinvestment of Dividends. </w:t>
      </w:r>
      <w:r>
        <w:rPr>
          <w:rFonts w:ascii="Arial" w:cs="Arial" w:eastAsia="Arial" w:hAnsi="Arial"/>
          <w:sz w:val="19"/>
          <w:szCs w:val="19"/>
          <w:color w:val="auto"/>
        </w:rPr>
        <w:t>The number of Deferred Stock Units credited to a Participant’s</w:t>
      </w:r>
      <w:r>
        <w:rPr>
          <w:rFonts w:ascii="Arial" w:cs="Arial" w:eastAsia="Arial" w:hAnsi="Arial"/>
          <w:sz w:val="19"/>
          <w:szCs w:val="19"/>
          <w:i w:val="1"/>
          <w:iCs w:val="1"/>
          <w:color w:val="auto"/>
        </w:rPr>
        <w:t xml:space="preserve"> </w:t>
      </w:r>
      <w:r>
        <w:rPr>
          <w:rFonts w:ascii="Arial" w:cs="Arial" w:eastAsia="Arial" w:hAnsi="Arial"/>
          <w:sz w:val="19"/>
          <w:szCs w:val="19"/>
          <w:color w:val="auto"/>
        </w:rPr>
        <w:t>Account shall be increased on each date on which a dividend is paid on the underlying referenced common stock that relates to a Deferred Stock Unit. The number of additional UTC, Carrier or Otis Deferred Stock Units credited to a Participant’s Account as a result of such dividend payment on a UTC, Carrier or Otis Deferred Stock Unit respectively shall be determined by (A) multiplying the total number of relevant Deferred Stock Units (including fractional Deferred Stock Units) credited to the Participant’s Account on the dividend payment date by the amount of the dividend paid per share of UTC, Carrier or Otis common stock that is the underlying referenced common stock for purposes of the relevant Deferred Stock Unit on the dividend payment date, and (B) dividing the product so determined by the Closing Price of the underlying referenced common stock on the dividend payment date.</w:t>
      </w:r>
    </w:p>
    <w:p>
      <w:pPr>
        <w:sectPr>
          <w:pgSz w:w="11900" w:h="16838" w:orient="portrait"/>
          <w:cols w:equalWidth="0" w:num="1">
            <w:col w:w="11220"/>
          </w:cols>
          <w:pgMar w:left="320" w:top="144" w:right="35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4"/>
          <w:szCs w:val="14"/>
          <w:color w:val="auto"/>
        </w:rPr>
        <w:t>Internal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60" w:right="80" w:firstLine="1292"/>
        <w:spacing w:after="0" w:line="406" w:lineRule="auto"/>
        <w:tabs>
          <w:tab w:leader="none" w:pos="2601" w:val="left"/>
        </w:tabs>
        <w:numPr>
          <w:ilvl w:val="1"/>
          <w:numId w:val="34"/>
        </w:numPr>
        <w:rPr>
          <w:rFonts w:ascii="Arial" w:cs="Arial" w:eastAsia="Arial" w:hAnsi="Arial"/>
          <w:sz w:val="19"/>
          <w:szCs w:val="19"/>
          <w:color w:val="010000"/>
        </w:rPr>
      </w:pPr>
      <w:r>
        <w:rPr>
          <w:rFonts w:ascii="Arial" w:cs="Arial" w:eastAsia="Arial" w:hAnsi="Arial"/>
          <w:sz w:val="19"/>
          <w:szCs w:val="19"/>
          <w:i w:val="1"/>
          <w:iCs w:val="1"/>
          <w:color w:val="auto"/>
        </w:rPr>
        <w:t xml:space="preserve">Effect of Recapitalization. </w:t>
      </w:r>
      <w:r>
        <w:rPr>
          <w:rFonts w:ascii="Arial" w:cs="Arial" w:eastAsia="Arial" w:hAnsi="Arial"/>
          <w:sz w:val="19"/>
          <w:szCs w:val="19"/>
          <w:color w:val="auto"/>
        </w:rPr>
        <w:t>In the event of a transaction or event described in this subparagraph (iii)</w:t>
      </w:r>
      <w:r>
        <w:rPr>
          <w:rFonts w:ascii="Arial" w:cs="Arial" w:eastAsia="Arial" w:hAnsi="Arial"/>
          <w:sz w:val="19"/>
          <w:szCs w:val="19"/>
          <w:i w:val="1"/>
          <w:iCs w:val="1"/>
          <w:color w:val="auto"/>
        </w:rPr>
        <w:t xml:space="preserve"> </w:t>
      </w:r>
      <w:r>
        <w:rPr>
          <w:rFonts w:ascii="Arial" w:cs="Arial" w:eastAsia="Arial" w:hAnsi="Arial"/>
          <w:sz w:val="19"/>
          <w:szCs w:val="19"/>
          <w:color w:val="auto"/>
        </w:rPr>
        <w:t>(a “Recapitalization Event”), the number of the applicable Deferred Stock Units credited to a Participant’s Account shall be adjusted in the same manner as an outstanding share of common stock underlying the applicable Deferred Stock Unit. A Recapitalization Event includes a dividend (other than regular quarterly dividends) or other extraordinary distribution to a holder of a share of common stock underlying such Deferred Stock Unit (whether in the form of cash, shares, other securities, or other property), extraordinary cash dividend, recapitalization, stock split, reverse stock split, reorganization, merger, consolidation, split-up, spin-off, repurchase, or exchange of shares or other securities, the issuance or exercisability of stock purchase rights, the issuance of warrants or other rights to purchase shares or other securities, or other similar corporate transaction or event that has a material effect on a share of common stock underlying such Deferred Stock Unit and requires conforming adjustment to the value and/or number of applicable Deferred Stock Units to prevent dilution or enlargement of the value of Participants’ Accounts.</w:t>
      </w:r>
    </w:p>
    <w:p>
      <w:pPr>
        <w:spacing w:after="0" w:line="180" w:lineRule="exact"/>
        <w:rPr>
          <w:rFonts w:ascii="Arial" w:cs="Arial" w:eastAsia="Arial" w:hAnsi="Arial"/>
          <w:sz w:val="19"/>
          <w:szCs w:val="19"/>
          <w:color w:val="010000"/>
        </w:rPr>
      </w:pPr>
    </w:p>
    <w:p>
      <w:pPr>
        <w:ind w:left="560" w:hanging="342"/>
        <w:spacing w:after="0"/>
        <w:tabs>
          <w:tab w:leader="none" w:pos="560" w:val="left"/>
        </w:tabs>
        <w:numPr>
          <w:ilvl w:val="0"/>
          <w:numId w:val="35"/>
        </w:numPr>
        <w:rPr>
          <w:rFonts w:ascii="Arial" w:cs="Arial" w:eastAsia="Arial" w:hAnsi="Arial"/>
          <w:sz w:val="22"/>
          <w:szCs w:val="22"/>
          <w:b w:val="1"/>
          <w:bCs w:val="1"/>
          <w:color w:val="010000"/>
        </w:rPr>
      </w:pPr>
      <w:r>
        <w:rPr>
          <w:rFonts w:ascii="Arial" w:cs="Arial" w:eastAsia="Arial" w:hAnsi="Arial"/>
          <w:sz w:val="22"/>
          <w:szCs w:val="22"/>
          <w:b w:val="1"/>
          <w:bCs w:val="1"/>
          <w:color w:val="auto"/>
        </w:rPr>
        <w:t>Hypothetical Nature of Accounts and Investments</w:t>
      </w:r>
    </w:p>
    <w:p>
      <w:pPr>
        <w:spacing w:after="0" w:line="118" w:lineRule="exact"/>
        <w:rPr>
          <w:sz w:val="20"/>
          <w:szCs w:val="20"/>
          <w:color w:val="auto"/>
        </w:rPr>
      </w:pPr>
    </w:p>
    <w:p>
      <w:pPr>
        <w:ind w:firstLine="648"/>
        <w:spacing w:after="0" w:line="349" w:lineRule="auto"/>
        <w:rPr>
          <w:sz w:val="20"/>
          <w:szCs w:val="20"/>
          <w:color w:val="auto"/>
        </w:rPr>
      </w:pPr>
      <w:r>
        <w:rPr>
          <w:rFonts w:ascii="Arial" w:cs="Arial" w:eastAsia="Arial" w:hAnsi="Arial"/>
          <w:sz w:val="22"/>
          <w:szCs w:val="22"/>
          <w:color w:val="auto"/>
        </w:rPr>
        <w:t xml:space="preserve">Each Account established under this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shall be maintained for bookkeeping purposes only. Neither the Plan nor any of the Accounts established under the Plan shall hold any actual funds, shares or other assets. The UTC, Carrier and Otis Deferred Stock Units established hereunder shall be used solely to determine the amounts to be distributed hereunder, shall not be or represent an equity security of the Corporation, shall not be convertible into or otherwise entitle a Participant to acquire an equity security of the Corporation prior to a Conversion Date as provided for under the terms of this Plan and shall not carry any voting or dividend rights.</w:t>
      </w:r>
    </w:p>
    <w:p>
      <w:pPr>
        <w:spacing w:after="0" w:line="217" w:lineRule="exact"/>
        <w:rPr>
          <w:sz w:val="20"/>
          <w:szCs w:val="20"/>
          <w:color w:val="auto"/>
        </w:rPr>
      </w:pPr>
    </w:p>
    <w:p>
      <w:pPr>
        <w:ind w:left="2260"/>
        <w:spacing w:after="0"/>
        <w:rPr>
          <w:sz w:val="20"/>
          <w:szCs w:val="20"/>
          <w:color w:val="auto"/>
        </w:rPr>
      </w:pPr>
      <w:r>
        <w:rPr>
          <w:rFonts w:ascii="Arial" w:cs="Arial" w:eastAsia="Arial" w:hAnsi="Arial"/>
          <w:sz w:val="22"/>
          <w:szCs w:val="22"/>
          <w:b w:val="1"/>
          <w:bCs w:val="1"/>
          <w:color w:val="010000"/>
        </w:rPr>
        <w:t>Article V.</w:t>
      </w:r>
      <w:r>
        <w:rPr>
          <w:rFonts w:ascii="Arial" w:cs="Arial" w:eastAsia="Arial" w:hAnsi="Arial"/>
          <w:sz w:val="22"/>
          <w:szCs w:val="22"/>
          <w:b w:val="1"/>
          <w:bCs w:val="1"/>
          <w:color w:val="000000"/>
        </w:rPr>
        <w:t>ELECTION PROCEDURES AND DISTRIBUTIONS</w:t>
      </w:r>
    </w:p>
    <w:p>
      <w:pPr>
        <w:spacing w:after="0" w:line="355" w:lineRule="exact"/>
        <w:rPr>
          <w:sz w:val="20"/>
          <w:szCs w:val="20"/>
          <w:color w:val="auto"/>
        </w:rPr>
      </w:pPr>
    </w:p>
    <w:p>
      <w:pPr>
        <w:ind w:left="560" w:hanging="234"/>
        <w:spacing w:after="0"/>
        <w:tabs>
          <w:tab w:leader="none" w:pos="560" w:val="left"/>
        </w:tabs>
        <w:numPr>
          <w:ilvl w:val="0"/>
          <w:numId w:val="36"/>
        </w:numPr>
        <w:rPr>
          <w:rFonts w:ascii="Arial" w:cs="Arial" w:eastAsia="Arial" w:hAnsi="Arial"/>
          <w:sz w:val="22"/>
          <w:szCs w:val="22"/>
          <w:b w:val="1"/>
          <w:bCs w:val="1"/>
          <w:color w:val="010000"/>
        </w:rPr>
      </w:pPr>
      <w:r>
        <w:rPr>
          <w:rFonts w:ascii="Arial" w:cs="Arial" w:eastAsia="Arial" w:hAnsi="Arial"/>
          <w:sz w:val="22"/>
          <w:szCs w:val="22"/>
          <w:b w:val="1"/>
          <w:bCs w:val="1"/>
          <w:color w:val="auto"/>
        </w:rPr>
        <w:t>Annual Retainer Deferral Election</w:t>
      </w:r>
    </w:p>
    <w:p>
      <w:pPr>
        <w:sectPr>
          <w:pgSz w:w="11900" w:h="16838" w:orient="portrait"/>
          <w:cols w:equalWidth="0" w:num="1">
            <w:col w:w="11220"/>
          </w:cols>
          <w:pgMar w:left="320" w:top="144" w:right="359" w:bottom="1440" w:gutter="0" w:footer="0" w:header="0"/>
        </w:sectPr>
      </w:pPr>
    </w:p>
    <w:bookmarkStart w:id="89" w:name="page90"/>
    <w:bookmarkEnd w:id="89"/>
    <w:p>
      <w:pPr>
        <w:jc w:val="center"/>
        <w:ind w:right="-39"/>
        <w:spacing w:after="0"/>
        <w:rPr>
          <w:sz w:val="20"/>
          <w:szCs w:val="20"/>
          <w:color w:val="auto"/>
        </w:rPr>
      </w:pPr>
      <w:r>
        <w:rPr>
          <w:rFonts w:ascii="Arial" w:cs="Arial" w:eastAsia="Arial" w:hAnsi="Arial"/>
          <w:sz w:val="14"/>
          <w:szCs w:val="14"/>
          <w:color w:val="auto"/>
        </w:rPr>
        <w:t>Internal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280" w:firstLine="648"/>
        <w:spacing w:after="0" w:line="366" w:lineRule="auto"/>
        <w:rPr>
          <w:sz w:val="20"/>
          <w:szCs w:val="20"/>
          <w:color w:val="auto"/>
        </w:rPr>
      </w:pPr>
      <w:r>
        <w:rPr>
          <w:rFonts w:ascii="Arial" w:cs="Arial" w:eastAsia="Arial" w:hAnsi="Arial"/>
          <w:sz w:val="22"/>
          <w:szCs w:val="22"/>
          <w:color w:val="auto"/>
        </w:rPr>
        <w:t>Participants who elect to defer the receipt of the Annual Retainer as UTC Deferred Stock Units for any Plan Year must make a written deferral election for that year on an Election form provided by the Committee.</w:t>
      </w:r>
    </w:p>
    <w:p>
      <w:pPr>
        <w:spacing w:after="0" w:line="194" w:lineRule="exact"/>
        <w:rPr>
          <w:sz w:val="20"/>
          <w:szCs w:val="20"/>
          <w:color w:val="auto"/>
        </w:rPr>
      </w:pPr>
    </w:p>
    <w:p>
      <w:pPr>
        <w:ind w:left="560" w:hanging="294"/>
        <w:spacing w:after="0"/>
        <w:tabs>
          <w:tab w:leader="none" w:pos="560" w:val="left"/>
        </w:tabs>
        <w:numPr>
          <w:ilvl w:val="0"/>
          <w:numId w:val="37"/>
        </w:numPr>
        <w:rPr>
          <w:rFonts w:ascii="Arial" w:cs="Arial" w:eastAsia="Arial" w:hAnsi="Arial"/>
          <w:sz w:val="22"/>
          <w:szCs w:val="22"/>
          <w:b w:val="1"/>
          <w:bCs w:val="1"/>
          <w:color w:val="010000"/>
        </w:rPr>
      </w:pPr>
      <w:r>
        <w:rPr>
          <w:rFonts w:ascii="Arial" w:cs="Arial" w:eastAsia="Arial" w:hAnsi="Arial"/>
          <w:sz w:val="22"/>
          <w:szCs w:val="22"/>
          <w:b w:val="1"/>
          <w:bCs w:val="1"/>
          <w:color w:val="auto"/>
        </w:rPr>
        <w:t>Annual Retainer Deferral Election Deadline</w:t>
      </w:r>
    </w:p>
    <w:p>
      <w:pPr>
        <w:spacing w:after="0" w:line="118" w:lineRule="exact"/>
        <w:rPr>
          <w:sz w:val="20"/>
          <w:szCs w:val="20"/>
          <w:color w:val="auto"/>
        </w:rPr>
      </w:pPr>
    </w:p>
    <w:p>
      <w:pPr>
        <w:ind w:firstLine="648"/>
        <w:spacing w:after="0" w:line="368" w:lineRule="auto"/>
        <w:rPr>
          <w:sz w:val="20"/>
          <w:szCs w:val="20"/>
          <w:color w:val="auto"/>
        </w:rPr>
      </w:pPr>
      <w:r>
        <w:rPr>
          <w:rFonts w:ascii="Arial" w:cs="Arial" w:eastAsia="Arial" w:hAnsi="Arial"/>
          <w:sz w:val="21"/>
          <w:szCs w:val="21"/>
          <w:color w:val="auto"/>
        </w:rPr>
        <w:t xml:space="preserve">A written Election form must be completed and submitted to the Office of the Corporate Secretary, no later than December 31st, prior to the Plan Year for which the Annual Retainer will be earned or, for new Participants, no later than 30 days after their election to the Board (in the case of new Participants, the deferral shall only apply to compensation for services performed after the date of the election). If a Participant fails to timely submit a properly completed Election form, the Participant’s Annual Retainer earned in the next succeeding year shall be paid in cash as provided in </w:t>
      </w:r>
      <w:r>
        <w:rPr>
          <w:rFonts w:ascii="Arial" w:cs="Arial" w:eastAsia="Arial" w:hAnsi="Arial"/>
          <w:sz w:val="21"/>
          <w:szCs w:val="21"/>
          <w:u w:val="single" w:color="auto"/>
          <w:color w:val="auto"/>
        </w:rPr>
        <w:t>Section 4.02</w:t>
      </w:r>
      <w:r>
        <w:rPr>
          <w:rFonts w:ascii="Arial" w:cs="Arial" w:eastAsia="Arial" w:hAnsi="Arial"/>
          <w:sz w:val="21"/>
          <w:szCs w:val="21"/>
          <w:color w:val="auto"/>
        </w:rPr>
        <w:t>. The Participant’s deferral election shall be irrevocable following the Election deadline.</w:t>
      </w:r>
    </w:p>
    <w:p>
      <w:pPr>
        <w:spacing w:after="0" w:line="202" w:lineRule="exact"/>
        <w:rPr>
          <w:sz w:val="20"/>
          <w:szCs w:val="20"/>
          <w:color w:val="auto"/>
        </w:rPr>
      </w:pPr>
    </w:p>
    <w:p>
      <w:pPr>
        <w:ind w:left="560" w:hanging="354"/>
        <w:spacing w:after="0"/>
        <w:tabs>
          <w:tab w:leader="none" w:pos="560" w:val="left"/>
        </w:tabs>
        <w:numPr>
          <w:ilvl w:val="0"/>
          <w:numId w:val="38"/>
        </w:numPr>
        <w:rPr>
          <w:rFonts w:ascii="Arial" w:cs="Arial" w:eastAsia="Arial" w:hAnsi="Arial"/>
          <w:sz w:val="22"/>
          <w:szCs w:val="22"/>
          <w:b w:val="1"/>
          <w:bCs w:val="1"/>
          <w:color w:val="010000"/>
        </w:rPr>
      </w:pPr>
      <w:r>
        <w:rPr>
          <w:rFonts w:ascii="Arial" w:cs="Arial" w:eastAsia="Arial" w:hAnsi="Arial"/>
          <w:sz w:val="22"/>
          <w:szCs w:val="22"/>
          <w:b w:val="1"/>
          <w:bCs w:val="1"/>
          <w:color w:val="auto"/>
        </w:rPr>
        <w:t>Distribution Commencement Date</w:t>
      </w:r>
    </w:p>
    <w:p>
      <w:pPr>
        <w:spacing w:after="0" w:line="117" w:lineRule="exact"/>
        <w:rPr>
          <w:rFonts w:ascii="Arial" w:cs="Arial" w:eastAsia="Arial" w:hAnsi="Arial"/>
          <w:sz w:val="22"/>
          <w:szCs w:val="22"/>
          <w:b w:val="1"/>
          <w:bCs w:val="1"/>
          <w:color w:val="010000"/>
        </w:rPr>
      </w:pPr>
    </w:p>
    <w:p>
      <w:pPr>
        <w:ind w:right="80" w:firstLine="1304"/>
        <w:spacing w:after="0" w:line="410" w:lineRule="auto"/>
        <w:tabs>
          <w:tab w:leader="none" w:pos="1939" w:val="left"/>
        </w:tabs>
        <w:numPr>
          <w:ilvl w:val="1"/>
          <w:numId w:val="38"/>
        </w:numPr>
        <w:rPr>
          <w:rFonts w:ascii="Arial" w:cs="Arial" w:eastAsia="Arial" w:hAnsi="Arial"/>
          <w:sz w:val="19"/>
          <w:szCs w:val="19"/>
          <w:color w:val="010000"/>
        </w:rPr>
      </w:pPr>
      <w:r>
        <w:rPr>
          <w:rFonts w:ascii="Arial" w:cs="Arial" w:eastAsia="Arial" w:hAnsi="Arial"/>
          <w:sz w:val="19"/>
          <w:szCs w:val="19"/>
          <w:i w:val="1"/>
          <w:iCs w:val="1"/>
          <w:color w:val="auto"/>
        </w:rPr>
        <w:t>UTC Deferred Stock Units</w:t>
      </w:r>
      <w:r>
        <w:rPr>
          <w:rFonts w:ascii="Arial" w:cs="Arial" w:eastAsia="Arial" w:hAnsi="Arial"/>
          <w:sz w:val="19"/>
          <w:szCs w:val="19"/>
          <w:color w:val="auto"/>
        </w:rPr>
        <w:t>. The value of UTC Deferred Stock Units shall be based on the Closing Price of</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UTC Common Stock as of the date of Separation from Service (or in the case of installment payments, the Separation from Service Anniversary Date) and will be converted into shares of UTC Common Stock and be distributed in shares of stock from a Participant’s Account as of the Participant’s Distribution Commencement Date (and in the case of installment payments, on the applicable Distribution Anniversary Dates). Where the Participant has changed his or her distribution election as provided in </w:t>
      </w:r>
      <w:r>
        <w:rPr>
          <w:rFonts w:ascii="Arial" w:cs="Arial" w:eastAsia="Arial" w:hAnsi="Arial"/>
          <w:sz w:val="19"/>
          <w:szCs w:val="19"/>
          <w:u w:val="single" w:color="auto"/>
          <w:color w:val="auto"/>
        </w:rPr>
        <w:t>Section 5.05</w:t>
      </w:r>
      <w:r>
        <w:rPr>
          <w:rFonts w:ascii="Arial" w:cs="Arial" w:eastAsia="Arial" w:hAnsi="Arial"/>
          <w:sz w:val="19"/>
          <w:szCs w:val="19"/>
          <w:color w:val="auto"/>
        </w:rPr>
        <w:t>, valuation shall occur, and distribution shall commence, no earlier than on the fifth anniversary of the Participant’s Separation from Service and elected Distribution Date respectively.</w:t>
      </w:r>
    </w:p>
    <w:p>
      <w:pPr>
        <w:spacing w:after="0" w:line="181" w:lineRule="exact"/>
        <w:rPr>
          <w:rFonts w:ascii="Arial" w:cs="Arial" w:eastAsia="Arial" w:hAnsi="Arial"/>
          <w:sz w:val="19"/>
          <w:szCs w:val="19"/>
          <w:color w:val="010000"/>
        </w:rPr>
      </w:pPr>
    </w:p>
    <w:p>
      <w:pPr>
        <w:ind w:right="140" w:firstLine="1304"/>
        <w:spacing w:after="0" w:line="370" w:lineRule="auto"/>
        <w:tabs>
          <w:tab w:leader="none" w:pos="1939" w:val="left"/>
        </w:tabs>
        <w:numPr>
          <w:ilvl w:val="1"/>
          <w:numId w:val="38"/>
        </w:numPr>
        <w:rPr>
          <w:rFonts w:ascii="Arial" w:cs="Arial" w:eastAsia="Arial" w:hAnsi="Arial"/>
          <w:sz w:val="21"/>
          <w:szCs w:val="21"/>
          <w:color w:val="010000"/>
        </w:rPr>
      </w:pPr>
      <w:r>
        <w:rPr>
          <w:rFonts w:ascii="Arial" w:cs="Arial" w:eastAsia="Arial" w:hAnsi="Arial"/>
          <w:sz w:val="21"/>
          <w:szCs w:val="21"/>
          <w:i w:val="1"/>
          <w:iCs w:val="1"/>
          <w:color w:val="auto"/>
        </w:rPr>
        <w:t>Carrier and Otis Deferred Stock Units</w:t>
      </w:r>
      <w:r>
        <w:rPr>
          <w:rFonts w:ascii="Arial" w:cs="Arial" w:eastAsia="Arial" w:hAnsi="Arial"/>
          <w:sz w:val="21"/>
          <w:szCs w:val="21"/>
          <w:color w:val="auto"/>
        </w:rPr>
        <w:t>. The value of Carrier and Otis Deferred Stock Units shall be based</w:t>
      </w:r>
      <w:r>
        <w:rPr>
          <w:rFonts w:ascii="Arial" w:cs="Arial" w:eastAsia="Arial" w:hAnsi="Arial"/>
          <w:sz w:val="21"/>
          <w:szCs w:val="21"/>
          <w:i w:val="1"/>
          <w:iCs w:val="1"/>
          <w:color w:val="auto"/>
        </w:rPr>
        <w:t xml:space="preserve"> </w:t>
      </w:r>
      <w:r>
        <w:rPr>
          <w:rFonts w:ascii="Arial" w:cs="Arial" w:eastAsia="Arial" w:hAnsi="Arial"/>
          <w:sz w:val="21"/>
          <w:szCs w:val="21"/>
          <w:color w:val="auto"/>
        </w:rPr>
        <w:t>on the Closing Price or Carrier and Otis common stock as of the date of Separation from Service (or in the case of installment payments, on the Separation from Service Anniversary Date) and will be distributed in cash from a Participant’s Account as of the Participant’s Distribution Commencement Date (and in the case of installment payments, on the applicable Distribution Anniversary Dates). Where the Participant has changed his or her</w:t>
      </w:r>
    </w:p>
    <w:p>
      <w:pPr>
        <w:sectPr>
          <w:pgSz w:w="11900" w:h="16838" w:orient="portrait"/>
          <w:cols w:equalWidth="0" w:num="1">
            <w:col w:w="11200"/>
          </w:cols>
          <w:pgMar w:left="320" w:top="144" w:right="37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4"/>
          <w:szCs w:val="14"/>
          <w:color w:val="auto"/>
        </w:rPr>
        <w:t>Internal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420"/>
        <w:spacing w:after="0" w:line="395" w:lineRule="auto"/>
        <w:rPr>
          <w:sz w:val="20"/>
          <w:szCs w:val="20"/>
          <w:color w:val="auto"/>
        </w:rPr>
      </w:pPr>
      <w:r>
        <w:rPr>
          <w:rFonts w:ascii="Arial" w:cs="Arial" w:eastAsia="Arial" w:hAnsi="Arial"/>
          <w:sz w:val="21"/>
          <w:szCs w:val="21"/>
          <w:color w:val="auto"/>
        </w:rPr>
        <w:t xml:space="preserve">distribution election as provided in </w:t>
      </w:r>
      <w:r>
        <w:rPr>
          <w:rFonts w:ascii="Arial" w:cs="Arial" w:eastAsia="Arial" w:hAnsi="Arial"/>
          <w:sz w:val="21"/>
          <w:szCs w:val="21"/>
          <w:u w:val="single" w:color="auto"/>
          <w:color w:val="auto"/>
        </w:rPr>
        <w:t>Section 5.05</w:t>
      </w:r>
      <w:r>
        <w:rPr>
          <w:rFonts w:ascii="Arial" w:cs="Arial" w:eastAsia="Arial" w:hAnsi="Arial"/>
          <w:sz w:val="21"/>
          <w:szCs w:val="21"/>
          <w:color w:val="auto"/>
        </w:rPr>
        <w:t>, valuation shall occur and distribution shall commence no earlier than on the fifth anniversary of the Participant’s Separation from Service and elected Distribution Date respectively.</w:t>
      </w:r>
    </w:p>
    <w:p>
      <w:pPr>
        <w:spacing w:after="0" w:line="177" w:lineRule="exact"/>
        <w:rPr>
          <w:sz w:val="20"/>
          <w:szCs w:val="20"/>
          <w:color w:val="auto"/>
        </w:rPr>
      </w:pPr>
    </w:p>
    <w:p>
      <w:pPr>
        <w:jc w:val="both"/>
        <w:ind w:right="60" w:firstLine="1304"/>
        <w:spacing w:after="0" w:line="431" w:lineRule="auto"/>
        <w:tabs>
          <w:tab w:leader="none" w:pos="1939" w:val="left"/>
        </w:tabs>
        <w:numPr>
          <w:ilvl w:val="1"/>
          <w:numId w:val="39"/>
        </w:numPr>
        <w:rPr>
          <w:rFonts w:ascii="Arial" w:cs="Arial" w:eastAsia="Arial" w:hAnsi="Arial"/>
          <w:sz w:val="19"/>
          <w:szCs w:val="19"/>
          <w:color w:val="010000"/>
        </w:rPr>
      </w:pPr>
      <w:r>
        <w:rPr>
          <w:rFonts w:ascii="Arial" w:cs="Arial" w:eastAsia="Arial" w:hAnsi="Arial"/>
          <w:sz w:val="19"/>
          <w:szCs w:val="19"/>
          <w:i w:val="1"/>
          <w:iCs w:val="1"/>
          <w:color w:val="auto"/>
        </w:rPr>
        <w:t xml:space="preserve">Death. </w:t>
      </w:r>
      <w:r>
        <w:rPr>
          <w:rFonts w:ascii="Arial" w:cs="Arial" w:eastAsia="Arial" w:hAnsi="Arial"/>
          <w:sz w:val="19"/>
          <w:szCs w:val="19"/>
          <w:color w:val="auto"/>
        </w:rPr>
        <w:t>If a Participant dies at any time before the Participant’s Plan Account has been fully distributed, the</w:t>
      </w:r>
      <w:r>
        <w:rPr>
          <w:rFonts w:ascii="Arial" w:cs="Arial" w:eastAsia="Arial" w:hAnsi="Arial"/>
          <w:sz w:val="19"/>
          <w:szCs w:val="19"/>
          <w:i w:val="1"/>
          <w:iCs w:val="1"/>
          <w:color w:val="auto"/>
        </w:rPr>
        <w:t xml:space="preserve"> </w:t>
      </w:r>
      <w:r>
        <w:rPr>
          <w:rFonts w:ascii="Arial" w:cs="Arial" w:eastAsia="Arial" w:hAnsi="Arial"/>
          <w:sz w:val="19"/>
          <w:szCs w:val="19"/>
          <w:color w:val="auto"/>
        </w:rPr>
        <w:t>full remaining value of the Participant’s Plan Accounts will be distributed to the designated Beneficiary or the Participant’s estate in a lump sum no later than December 31st of the year immediately following the year in which the death occurred.</w:t>
      </w:r>
    </w:p>
    <w:p>
      <w:pPr>
        <w:spacing w:after="0" w:line="159" w:lineRule="exact"/>
        <w:rPr>
          <w:rFonts w:ascii="Arial" w:cs="Arial" w:eastAsia="Arial" w:hAnsi="Arial"/>
          <w:sz w:val="19"/>
          <w:szCs w:val="19"/>
          <w:color w:val="010000"/>
        </w:rPr>
      </w:pPr>
    </w:p>
    <w:p>
      <w:pPr>
        <w:ind w:right="60" w:firstLine="1304"/>
        <w:spacing w:after="0" w:line="410" w:lineRule="auto"/>
        <w:tabs>
          <w:tab w:leader="none" w:pos="1939" w:val="left"/>
        </w:tabs>
        <w:numPr>
          <w:ilvl w:val="1"/>
          <w:numId w:val="39"/>
        </w:numPr>
        <w:rPr>
          <w:rFonts w:ascii="Arial" w:cs="Arial" w:eastAsia="Arial" w:hAnsi="Arial"/>
          <w:sz w:val="19"/>
          <w:szCs w:val="19"/>
          <w:color w:val="010000"/>
        </w:rPr>
      </w:pPr>
      <w:r>
        <w:rPr>
          <w:rFonts w:ascii="Arial" w:cs="Arial" w:eastAsia="Arial" w:hAnsi="Arial"/>
          <w:sz w:val="19"/>
          <w:szCs w:val="19"/>
          <w:i w:val="1"/>
          <w:iCs w:val="1"/>
          <w:color w:val="auto"/>
        </w:rPr>
        <w:t xml:space="preserve">Administrative Adjustments in Payment Date. </w:t>
      </w:r>
      <w:r>
        <w:rPr>
          <w:rFonts w:ascii="Arial" w:cs="Arial" w:eastAsia="Arial" w:hAnsi="Arial"/>
          <w:sz w:val="19"/>
          <w:szCs w:val="19"/>
          <w:color w:val="auto"/>
        </w:rPr>
        <w:t>A distribution is treated as being made on the date when it is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due under the Plan if the distribution occurs on the date specified by the Plan, or on a later date that is either (a) in the same calendar year (for a distribution whose specified due date is on or before September 30) or (b) by the 15th day of the third calendar month following the date specified by the Plan (for a distribution with a specified due date that is on or after October 1). A distribution is also treated as having been made on the date when it is due under the Plan if the distribution is made not more than 30 days before the due date specified by the Plan. A Participant may not, directly or indirectly, designate the taxable year of a distribution made in reliance on the administrative rules in this </w:t>
      </w:r>
      <w:r>
        <w:rPr>
          <w:rFonts w:ascii="Arial" w:cs="Arial" w:eastAsia="Arial" w:hAnsi="Arial"/>
          <w:sz w:val="19"/>
          <w:szCs w:val="19"/>
          <w:u w:val="single" w:color="auto"/>
          <w:color w:val="auto"/>
        </w:rPr>
        <w:t>Section 5.03</w:t>
      </w:r>
      <w:r>
        <w:rPr>
          <w:rFonts w:ascii="Arial" w:cs="Arial" w:eastAsia="Arial" w:hAnsi="Arial"/>
          <w:sz w:val="19"/>
          <w:szCs w:val="19"/>
          <w:color w:val="auto"/>
        </w:rPr>
        <w:t>.</w:t>
      </w:r>
    </w:p>
    <w:p>
      <w:pPr>
        <w:spacing w:after="0" w:line="175" w:lineRule="exact"/>
        <w:rPr>
          <w:rFonts w:ascii="Arial" w:cs="Arial" w:eastAsia="Arial" w:hAnsi="Arial"/>
          <w:sz w:val="19"/>
          <w:szCs w:val="19"/>
          <w:color w:val="010000"/>
        </w:rPr>
      </w:pPr>
    </w:p>
    <w:p>
      <w:pPr>
        <w:ind w:left="560" w:hanging="342"/>
        <w:spacing w:after="0"/>
        <w:tabs>
          <w:tab w:leader="none" w:pos="560" w:val="left"/>
        </w:tabs>
        <w:numPr>
          <w:ilvl w:val="0"/>
          <w:numId w:val="40"/>
        </w:numPr>
        <w:rPr>
          <w:rFonts w:ascii="Arial" w:cs="Arial" w:eastAsia="Arial" w:hAnsi="Arial"/>
          <w:sz w:val="22"/>
          <w:szCs w:val="22"/>
          <w:b w:val="1"/>
          <w:bCs w:val="1"/>
          <w:color w:val="010000"/>
        </w:rPr>
      </w:pPr>
      <w:r>
        <w:rPr>
          <w:rFonts w:ascii="Arial" w:cs="Arial" w:eastAsia="Arial" w:hAnsi="Arial"/>
          <w:sz w:val="22"/>
          <w:szCs w:val="22"/>
          <w:b w:val="1"/>
          <w:bCs w:val="1"/>
          <w:color w:val="auto"/>
        </w:rPr>
        <w:t>Election of Form and Amount of Distribution</w:t>
      </w:r>
    </w:p>
    <w:p>
      <w:pPr>
        <w:spacing w:after="0" w:line="117" w:lineRule="exact"/>
        <w:rPr>
          <w:rFonts w:ascii="Arial" w:cs="Arial" w:eastAsia="Arial" w:hAnsi="Arial"/>
          <w:sz w:val="22"/>
          <w:szCs w:val="22"/>
          <w:b w:val="1"/>
          <w:bCs w:val="1"/>
          <w:color w:val="010000"/>
        </w:rPr>
      </w:pPr>
    </w:p>
    <w:p>
      <w:pPr>
        <w:ind w:firstLine="1304"/>
        <w:spacing w:after="0" w:line="368" w:lineRule="auto"/>
        <w:tabs>
          <w:tab w:leader="none" w:pos="1939" w:val="left"/>
        </w:tabs>
        <w:numPr>
          <w:ilvl w:val="1"/>
          <w:numId w:val="40"/>
        </w:numPr>
        <w:rPr>
          <w:rFonts w:ascii="Arial" w:cs="Arial" w:eastAsia="Arial" w:hAnsi="Arial"/>
          <w:sz w:val="21"/>
          <w:szCs w:val="21"/>
          <w:color w:val="010000"/>
        </w:rPr>
      </w:pPr>
      <w:r>
        <w:rPr>
          <w:rFonts w:ascii="Arial" w:cs="Arial" w:eastAsia="Arial" w:hAnsi="Arial"/>
          <w:sz w:val="21"/>
          <w:szCs w:val="21"/>
          <w:i w:val="1"/>
          <w:iCs w:val="1"/>
          <w:color w:val="auto"/>
        </w:rPr>
        <w:t xml:space="preserve">Full Distribution. </w:t>
      </w:r>
      <w:r>
        <w:rPr>
          <w:rFonts w:ascii="Arial" w:cs="Arial" w:eastAsia="Arial" w:hAnsi="Arial"/>
          <w:sz w:val="21"/>
          <w:szCs w:val="21"/>
          <w:color w:val="auto"/>
        </w:rPr>
        <w:t>Following a Separation from Service, a Participant shall receive (i) a number of shares of</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UTC Common Stock equal to the of the number of whole UTC Deferred Stock Units credited to his or her Account, and (ii) the cash value of the Carrier and Otis Deferred Stock Units credited to his or her Account (if applicable), unless the Participant timely elected to receive distributions from his or her Account in 10 or 15 annual installments in accordance with subsection (b), below. A distribution of shares of UTC Common Stock shall occur as provided in </w:t>
      </w:r>
      <w:r>
        <w:rPr>
          <w:rFonts w:ascii="Arial" w:cs="Arial" w:eastAsia="Arial" w:hAnsi="Arial"/>
          <w:sz w:val="21"/>
          <w:szCs w:val="21"/>
          <w:u w:val="single" w:color="auto"/>
          <w:color w:val="auto"/>
        </w:rPr>
        <w:t>Section 5.03</w:t>
      </w:r>
      <w:r>
        <w:rPr>
          <w:rFonts w:ascii="Arial" w:cs="Arial" w:eastAsia="Arial" w:hAnsi="Arial"/>
          <w:sz w:val="21"/>
          <w:szCs w:val="21"/>
          <w:color w:val="auto"/>
        </w:rPr>
        <w:t>. Carrier and Otis Deferred Stock Units and UTC fractional Deferred Stock Units will be paid in cash.</w:t>
      </w:r>
    </w:p>
    <w:p>
      <w:pPr>
        <w:spacing w:after="0" w:line="208" w:lineRule="exact"/>
        <w:rPr>
          <w:rFonts w:ascii="Arial" w:cs="Arial" w:eastAsia="Arial" w:hAnsi="Arial"/>
          <w:sz w:val="21"/>
          <w:szCs w:val="21"/>
          <w:color w:val="010000"/>
        </w:rPr>
      </w:pPr>
    </w:p>
    <w:p>
      <w:pPr>
        <w:ind w:right="240" w:firstLine="1304"/>
        <w:spacing w:after="0" w:line="356" w:lineRule="auto"/>
        <w:tabs>
          <w:tab w:leader="none" w:pos="1939" w:val="left"/>
        </w:tabs>
        <w:numPr>
          <w:ilvl w:val="1"/>
          <w:numId w:val="40"/>
        </w:numPr>
        <w:rPr>
          <w:rFonts w:ascii="Arial" w:cs="Arial" w:eastAsia="Arial" w:hAnsi="Arial"/>
          <w:sz w:val="22"/>
          <w:szCs w:val="22"/>
          <w:color w:val="010000"/>
        </w:rPr>
      </w:pPr>
      <w:r>
        <w:rPr>
          <w:rFonts w:ascii="Arial" w:cs="Arial" w:eastAsia="Arial" w:hAnsi="Arial"/>
          <w:sz w:val="22"/>
          <w:szCs w:val="22"/>
          <w:i w:val="1"/>
          <w:iCs w:val="1"/>
          <w:color w:val="auto"/>
        </w:rPr>
        <w:t xml:space="preserve">10 or 15 Annual Installments. </w:t>
      </w:r>
      <w:r>
        <w:rPr>
          <w:rFonts w:ascii="Arial" w:cs="Arial" w:eastAsia="Arial" w:hAnsi="Arial"/>
          <w:sz w:val="22"/>
          <w:szCs w:val="22"/>
          <w:color w:val="auto"/>
        </w:rPr>
        <w:t>A Participant may elect to receive distributions from his or her Account in</w:t>
      </w:r>
      <w:r>
        <w:rPr>
          <w:rFonts w:ascii="Arial" w:cs="Arial" w:eastAsia="Arial" w:hAnsi="Arial"/>
          <w:sz w:val="22"/>
          <w:szCs w:val="22"/>
          <w:i w:val="1"/>
          <w:iCs w:val="1"/>
          <w:color w:val="auto"/>
        </w:rPr>
        <w:t xml:space="preserve"> </w:t>
      </w:r>
      <w:r>
        <w:rPr>
          <w:rFonts w:ascii="Arial" w:cs="Arial" w:eastAsia="Arial" w:hAnsi="Arial"/>
          <w:sz w:val="22"/>
          <w:szCs w:val="22"/>
          <w:color w:val="auto"/>
        </w:rPr>
        <w:t>10 or 15 installments, in lieu of a full distribution under subsection (a) above. Annual installment distributions of whole UTC Deferred Stock Units shall</w:t>
      </w:r>
    </w:p>
    <w:p>
      <w:pPr>
        <w:sectPr>
          <w:pgSz w:w="11900" w:h="16838" w:orient="portrait"/>
          <w:cols w:equalWidth="0" w:num="1">
            <w:col w:w="11240"/>
          </w:cols>
          <w:pgMar w:left="320" w:top="144" w:right="33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4"/>
          <w:szCs w:val="14"/>
          <w:color w:val="auto"/>
        </w:rPr>
        <w:t>Internal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20"/>
        <w:spacing w:after="0" w:line="365" w:lineRule="auto"/>
        <w:rPr>
          <w:sz w:val="20"/>
          <w:szCs w:val="20"/>
          <w:color w:val="auto"/>
        </w:rPr>
      </w:pPr>
      <w:r>
        <w:rPr>
          <w:rFonts w:ascii="Arial" w:cs="Arial" w:eastAsia="Arial" w:hAnsi="Arial"/>
          <w:sz w:val="21"/>
          <w:szCs w:val="21"/>
          <w:color w:val="auto"/>
        </w:rPr>
        <w:t>be in shares of UTC Common Stock, and annual installment distributions of Carrier and Otis Deferred Stock Units and fractional UTC Deferred Stock Units shall be in cash. Installment distributions shall commence as of the Distribution Commencement Date and continue as of each Distribution Anniversary Date thereafter until all installments have been paid. The first annual installment shall equal 1/10th or 1/15th (if Participant elects 10 or 15 installment payments respectively) of the value of the Participant’s Accounts, determined as of the Distribution Commencement Date. Each successive annual installment shall equal the value of the Participant’s Accounts, determined as of the Distribution Anniversary Date, multiplied by a fraction, the numerator of which is one, and the denominator of which shall be the number of remaining annual installments. Payment of each installment in shares of UTC Common Stock with respect to UTC Deferred Stock Units and cash with respect to Carrier and Otis Deferred Stock Units shall be on a pro rata basis based on the outstanding balance of UTC, Carrier and Otis Deferred Stock Units.</w:t>
      </w:r>
    </w:p>
    <w:p>
      <w:pPr>
        <w:spacing w:after="0" w:line="215" w:lineRule="exact"/>
        <w:rPr>
          <w:sz w:val="20"/>
          <w:szCs w:val="20"/>
          <w:color w:val="auto"/>
        </w:rPr>
      </w:pPr>
    </w:p>
    <w:p>
      <w:pPr>
        <w:ind w:firstLine="1304"/>
        <w:spacing w:after="0" w:line="409" w:lineRule="auto"/>
        <w:tabs>
          <w:tab w:leader="none" w:pos="1939" w:val="left"/>
        </w:tabs>
        <w:numPr>
          <w:ilvl w:val="1"/>
          <w:numId w:val="41"/>
        </w:numPr>
        <w:rPr>
          <w:rFonts w:ascii="Arial" w:cs="Arial" w:eastAsia="Arial" w:hAnsi="Arial"/>
          <w:sz w:val="19"/>
          <w:szCs w:val="19"/>
          <w:color w:val="010000"/>
        </w:rPr>
      </w:pPr>
      <w:r>
        <w:rPr>
          <w:rFonts w:ascii="Arial" w:cs="Arial" w:eastAsia="Arial" w:hAnsi="Arial"/>
          <w:sz w:val="19"/>
          <w:szCs w:val="19"/>
          <w:i w:val="1"/>
          <w:iCs w:val="1"/>
          <w:color w:val="auto"/>
        </w:rPr>
        <w:t xml:space="preserve">Form of Distribution Election. </w:t>
      </w:r>
      <w:r>
        <w:rPr>
          <w:rFonts w:ascii="Arial" w:cs="Arial" w:eastAsia="Arial" w:hAnsi="Arial"/>
          <w:sz w:val="19"/>
          <w:szCs w:val="19"/>
          <w:color w:val="auto"/>
        </w:rPr>
        <w:t>A valid election to receive annual distributions under subsection (b) shall be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made in writing on an Election form, completed and submitted to the Office of the Corporate Secretary, no later than December 31st, prior to the Plan Year for which the Annual Retainer or UTC Deferred Stock Unit Award is earned, or for new Participants, prior to the date the Participant is elected to the Board, and in no event later than 30 days after such election (in the case of new Participants, the deferral shall only apply to compensation for services performed after the date of the election). If a Participant does not make a valid distribution Election, the Participant shall be deemed to have elected to receive his or her Account in a full and immediate distribution as provided in subsection (a). Except as provided below in </w:t>
      </w:r>
      <w:r>
        <w:rPr>
          <w:rFonts w:ascii="Arial" w:cs="Arial" w:eastAsia="Arial" w:hAnsi="Arial"/>
          <w:sz w:val="19"/>
          <w:szCs w:val="19"/>
          <w:u w:val="single" w:color="auto"/>
          <w:color w:val="auto"/>
        </w:rPr>
        <w:t>Section 5.05</w:t>
      </w:r>
      <w:r>
        <w:rPr>
          <w:rFonts w:ascii="Arial" w:cs="Arial" w:eastAsia="Arial" w:hAnsi="Arial"/>
          <w:sz w:val="19"/>
          <w:szCs w:val="19"/>
          <w:color w:val="auto"/>
        </w:rPr>
        <w:t xml:space="preserve"> (Change in Distribution Election), a Participant’s distribution Election shall become irrevocable on the Election deadline date.</w:t>
      </w:r>
    </w:p>
    <w:p>
      <w:pPr>
        <w:spacing w:after="0" w:line="174" w:lineRule="exact"/>
        <w:rPr>
          <w:rFonts w:ascii="Arial" w:cs="Arial" w:eastAsia="Arial" w:hAnsi="Arial"/>
          <w:sz w:val="19"/>
          <w:szCs w:val="19"/>
          <w:color w:val="010000"/>
        </w:rPr>
      </w:pPr>
    </w:p>
    <w:p>
      <w:pPr>
        <w:ind w:left="560" w:hanging="282"/>
        <w:spacing w:after="0"/>
        <w:tabs>
          <w:tab w:leader="none" w:pos="560" w:val="left"/>
        </w:tabs>
        <w:numPr>
          <w:ilvl w:val="0"/>
          <w:numId w:val="42"/>
        </w:numPr>
        <w:rPr>
          <w:rFonts w:ascii="Arial" w:cs="Arial" w:eastAsia="Arial" w:hAnsi="Arial"/>
          <w:sz w:val="22"/>
          <w:szCs w:val="22"/>
          <w:b w:val="1"/>
          <w:bCs w:val="1"/>
          <w:color w:val="010000"/>
        </w:rPr>
      </w:pPr>
      <w:r>
        <w:rPr>
          <w:rFonts w:ascii="Arial" w:cs="Arial" w:eastAsia="Arial" w:hAnsi="Arial"/>
          <w:sz w:val="22"/>
          <w:szCs w:val="22"/>
          <w:b w:val="1"/>
          <w:bCs w:val="1"/>
          <w:color w:val="auto"/>
        </w:rPr>
        <w:t>Change in Distribution Election</w:t>
      </w:r>
    </w:p>
    <w:p>
      <w:pPr>
        <w:spacing w:after="0" w:line="118" w:lineRule="exact"/>
        <w:rPr>
          <w:sz w:val="20"/>
          <w:szCs w:val="20"/>
          <w:color w:val="auto"/>
        </w:rPr>
      </w:pPr>
    </w:p>
    <w:p>
      <w:pPr>
        <w:ind w:right="100" w:firstLine="648"/>
        <w:spacing w:after="0" w:line="356" w:lineRule="auto"/>
        <w:rPr>
          <w:sz w:val="20"/>
          <w:szCs w:val="20"/>
          <w:color w:val="auto"/>
        </w:rPr>
      </w:pPr>
      <w:r>
        <w:rPr>
          <w:rFonts w:ascii="Arial" w:cs="Arial" w:eastAsia="Arial" w:hAnsi="Arial"/>
          <w:sz w:val="22"/>
          <w:szCs w:val="22"/>
          <w:color w:val="auto"/>
        </w:rPr>
        <w:t xml:space="preserve">A Participant may make a one-time irrevocable Election to extend the deferral period or change the form of distribution that the Participant elected under </w:t>
      </w:r>
      <w:r>
        <w:rPr>
          <w:rFonts w:ascii="Arial" w:cs="Arial" w:eastAsia="Arial" w:hAnsi="Arial"/>
          <w:sz w:val="22"/>
          <w:szCs w:val="22"/>
          <w:u w:val="single" w:color="auto"/>
          <w:color w:val="auto"/>
        </w:rPr>
        <w:t>Section 5.04</w:t>
      </w:r>
      <w:r>
        <w:rPr>
          <w:rFonts w:ascii="Arial" w:cs="Arial" w:eastAsia="Arial" w:hAnsi="Arial"/>
          <w:sz w:val="22"/>
          <w:szCs w:val="22"/>
          <w:color w:val="auto"/>
        </w:rPr>
        <w:t>. A deferral extension election and/or change to the form of distribution must meet the following requirements:</w:t>
      </w:r>
    </w:p>
    <w:p>
      <w:pPr>
        <w:sectPr>
          <w:pgSz w:w="11900" w:h="16838" w:orient="portrait"/>
          <w:cols w:equalWidth="0" w:num="1">
            <w:col w:w="11220"/>
          </w:cols>
          <w:pgMar w:left="320" w:top="144" w:right="359" w:bottom="1440" w:gutter="0" w:footer="0" w:header="0"/>
        </w:sectPr>
      </w:pPr>
    </w:p>
    <w:bookmarkStart w:id="92" w:name="page93"/>
    <w:bookmarkEnd w:id="92"/>
    <w:p>
      <w:pPr>
        <w:jc w:val="center"/>
        <w:ind w:right="-39"/>
        <w:spacing w:after="0"/>
        <w:rPr>
          <w:sz w:val="20"/>
          <w:szCs w:val="20"/>
          <w:color w:val="auto"/>
        </w:rPr>
      </w:pPr>
      <w:r>
        <w:rPr>
          <w:rFonts w:ascii="Arial" w:cs="Arial" w:eastAsia="Arial" w:hAnsi="Arial"/>
          <w:sz w:val="14"/>
          <w:szCs w:val="14"/>
          <w:color w:val="auto"/>
        </w:rPr>
        <w:t>Internal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60" w:firstLine="1304"/>
        <w:spacing w:after="0" w:line="356" w:lineRule="auto"/>
        <w:tabs>
          <w:tab w:leader="none" w:pos="1939" w:val="left"/>
        </w:tabs>
        <w:numPr>
          <w:ilvl w:val="0"/>
          <w:numId w:val="43"/>
        </w:numPr>
        <w:rPr>
          <w:rFonts w:ascii="Arial" w:cs="Arial" w:eastAsia="Arial" w:hAnsi="Arial"/>
          <w:sz w:val="22"/>
          <w:szCs w:val="22"/>
          <w:color w:val="010000"/>
        </w:rPr>
      </w:pPr>
      <w:r>
        <w:rPr>
          <w:rFonts w:ascii="Arial" w:cs="Arial" w:eastAsia="Arial" w:hAnsi="Arial"/>
          <w:sz w:val="22"/>
          <w:szCs w:val="22"/>
          <w:color w:val="auto"/>
        </w:rPr>
        <w:t>The new Election must be made at least 12 months prior to the Distribution Commencement Date (and the new election shall be ineffective if the Distribution Commencement Date occurs within 12 months after the date of the new Election);</w:t>
      </w:r>
    </w:p>
    <w:p>
      <w:pPr>
        <w:spacing w:after="0" w:line="210" w:lineRule="exact"/>
        <w:rPr>
          <w:rFonts w:ascii="Arial" w:cs="Arial" w:eastAsia="Arial" w:hAnsi="Arial"/>
          <w:sz w:val="22"/>
          <w:szCs w:val="22"/>
          <w:color w:val="010000"/>
        </w:rPr>
      </w:pPr>
    </w:p>
    <w:p>
      <w:pPr>
        <w:ind w:right="340" w:firstLine="1304"/>
        <w:spacing w:after="0" w:line="366" w:lineRule="auto"/>
        <w:tabs>
          <w:tab w:leader="none" w:pos="1939" w:val="left"/>
        </w:tabs>
        <w:numPr>
          <w:ilvl w:val="0"/>
          <w:numId w:val="43"/>
        </w:numPr>
        <w:rPr>
          <w:rFonts w:ascii="Arial" w:cs="Arial" w:eastAsia="Arial" w:hAnsi="Arial"/>
          <w:sz w:val="22"/>
          <w:szCs w:val="22"/>
          <w:color w:val="010000"/>
        </w:rPr>
      </w:pPr>
      <w:r>
        <w:rPr>
          <w:rFonts w:ascii="Arial" w:cs="Arial" w:eastAsia="Arial" w:hAnsi="Arial"/>
          <w:sz w:val="22"/>
          <w:szCs w:val="22"/>
          <w:color w:val="auto"/>
        </w:rPr>
        <w:t>The new Election will not take effect until 12 months after the date when the Participant submits a new Election form to the Office of the Corporate Secretary;</w:t>
      </w:r>
    </w:p>
    <w:p>
      <w:pPr>
        <w:spacing w:after="0" w:line="200" w:lineRule="exact"/>
        <w:rPr>
          <w:rFonts w:ascii="Arial" w:cs="Arial" w:eastAsia="Arial" w:hAnsi="Arial"/>
          <w:sz w:val="22"/>
          <w:szCs w:val="22"/>
          <w:color w:val="010000"/>
        </w:rPr>
      </w:pPr>
    </w:p>
    <w:p>
      <w:pPr>
        <w:ind w:right="120" w:firstLine="1304"/>
        <w:spacing w:after="0" w:line="366" w:lineRule="auto"/>
        <w:tabs>
          <w:tab w:leader="none" w:pos="1939" w:val="left"/>
        </w:tabs>
        <w:numPr>
          <w:ilvl w:val="0"/>
          <w:numId w:val="43"/>
        </w:numPr>
        <w:rPr>
          <w:rFonts w:ascii="Arial" w:cs="Arial" w:eastAsia="Arial" w:hAnsi="Arial"/>
          <w:sz w:val="22"/>
          <w:szCs w:val="22"/>
          <w:color w:val="010000"/>
        </w:rPr>
      </w:pPr>
      <w:r>
        <w:rPr>
          <w:rFonts w:ascii="Arial" w:cs="Arial" w:eastAsia="Arial" w:hAnsi="Arial"/>
          <w:sz w:val="22"/>
          <w:szCs w:val="22"/>
          <w:color w:val="auto"/>
        </w:rPr>
        <w:t>The new Distribution Commencement Date must be a minimum of five years later than the date on which the distribution would otherwise have commenced; and</w:t>
      </w:r>
    </w:p>
    <w:p>
      <w:pPr>
        <w:spacing w:after="0" w:line="200" w:lineRule="exact"/>
        <w:rPr>
          <w:rFonts w:ascii="Arial" w:cs="Arial" w:eastAsia="Arial" w:hAnsi="Arial"/>
          <w:sz w:val="22"/>
          <w:szCs w:val="22"/>
          <w:color w:val="010000"/>
        </w:rPr>
      </w:pPr>
    </w:p>
    <w:p>
      <w:pPr>
        <w:ind w:left="1940" w:hanging="636"/>
        <w:spacing w:after="0"/>
        <w:tabs>
          <w:tab w:leader="none" w:pos="1940" w:val="left"/>
        </w:tabs>
        <w:numPr>
          <w:ilvl w:val="0"/>
          <w:numId w:val="43"/>
        </w:numPr>
        <w:rPr>
          <w:rFonts w:ascii="Arial" w:cs="Arial" w:eastAsia="Arial" w:hAnsi="Arial"/>
          <w:sz w:val="19"/>
          <w:szCs w:val="19"/>
          <w:color w:val="010000"/>
        </w:rPr>
      </w:pPr>
      <w:r>
        <w:rPr>
          <w:rFonts w:ascii="Arial" w:cs="Arial" w:eastAsia="Arial" w:hAnsi="Arial"/>
          <w:sz w:val="19"/>
          <w:szCs w:val="19"/>
          <w:color w:val="auto"/>
        </w:rPr>
        <w:t xml:space="preserve">The new form of distribution must be one of the forms of payment provided under </w:t>
      </w:r>
      <w:r>
        <w:rPr>
          <w:rFonts w:ascii="Arial" w:cs="Arial" w:eastAsia="Arial" w:hAnsi="Arial"/>
          <w:sz w:val="19"/>
          <w:szCs w:val="19"/>
          <w:u w:val="single" w:color="auto"/>
          <w:color w:val="auto"/>
        </w:rPr>
        <w:t>Section 5.04(a)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w:t>
      </w:r>
    </w:p>
    <w:p>
      <w:pPr>
        <w:spacing w:after="0" w:line="383"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010000"/>
        </w:rPr>
        <w:t>Article VI.</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ADMINISTRATION</w:t>
      </w:r>
    </w:p>
    <w:p>
      <w:pPr>
        <w:spacing w:after="0" w:line="355" w:lineRule="exact"/>
        <w:rPr>
          <w:sz w:val="20"/>
          <w:szCs w:val="20"/>
          <w:color w:val="auto"/>
        </w:rPr>
      </w:pPr>
    </w:p>
    <w:p>
      <w:pPr>
        <w:ind w:left="560" w:hanging="234"/>
        <w:spacing w:after="0"/>
        <w:tabs>
          <w:tab w:leader="none" w:pos="560" w:val="left"/>
        </w:tabs>
        <w:numPr>
          <w:ilvl w:val="0"/>
          <w:numId w:val="44"/>
        </w:numPr>
        <w:rPr>
          <w:rFonts w:ascii="Arial" w:cs="Arial" w:eastAsia="Arial" w:hAnsi="Arial"/>
          <w:sz w:val="22"/>
          <w:szCs w:val="22"/>
          <w:b w:val="1"/>
          <w:bCs w:val="1"/>
          <w:color w:val="010000"/>
        </w:rPr>
      </w:pPr>
      <w:r>
        <w:rPr>
          <w:rFonts w:ascii="Arial" w:cs="Arial" w:eastAsia="Arial" w:hAnsi="Arial"/>
          <w:sz w:val="22"/>
          <w:szCs w:val="22"/>
          <w:b w:val="1"/>
          <w:bCs w:val="1"/>
          <w:color w:val="auto"/>
        </w:rPr>
        <w:t>In General</w:t>
      </w:r>
    </w:p>
    <w:p>
      <w:pPr>
        <w:spacing w:after="0" w:line="118" w:lineRule="exact"/>
        <w:rPr>
          <w:sz w:val="20"/>
          <w:szCs w:val="20"/>
          <w:color w:val="auto"/>
        </w:rPr>
      </w:pPr>
    </w:p>
    <w:p>
      <w:pPr>
        <w:ind w:firstLine="648"/>
        <w:spacing w:after="0" w:line="348" w:lineRule="auto"/>
        <w:rPr>
          <w:sz w:val="20"/>
          <w:szCs w:val="20"/>
          <w:color w:val="auto"/>
        </w:rPr>
      </w:pPr>
      <w:r>
        <w:rPr>
          <w:rFonts w:ascii="Arial" w:cs="Arial" w:eastAsia="Arial" w:hAnsi="Arial"/>
          <w:sz w:val="22"/>
          <w:szCs w:val="22"/>
          <w:color w:val="auto"/>
        </w:rPr>
        <w:t xml:space="preserve">The Committee (or its delegate) shall have the discretionary authority to interpret the Plan and to decide any and all matters arising under the Plan, including, without limitation, the right to determine eligibility for participation, benefits, and other rights under the Plan; the right to determine whether any Election or notice requirement or other administrative procedure under the Plan has been adequately observed; the right to determine the proper recipient of any distribution under the Plan; the right to remedy possible ambiguities, inconsistencies, or omissions by general rule or particular decision; and the right to otherwise interpret the Plan in accordance with its terms. Except as otherwise provided in </w:t>
      </w:r>
      <w:r>
        <w:rPr>
          <w:rFonts w:ascii="Arial" w:cs="Arial" w:eastAsia="Arial" w:hAnsi="Arial"/>
          <w:sz w:val="22"/>
          <w:szCs w:val="22"/>
          <w:u w:val="single" w:color="auto"/>
          <w:color w:val="auto"/>
        </w:rPr>
        <w:t>Section 6.04</w:t>
      </w:r>
      <w:r>
        <w:rPr>
          <w:rFonts w:ascii="Arial" w:cs="Arial" w:eastAsia="Arial" w:hAnsi="Arial"/>
          <w:sz w:val="22"/>
          <w:szCs w:val="22"/>
          <w:color w:val="auto"/>
        </w:rPr>
        <w:t>, the Committee’s determination on any and all questions arising out of the interpretation or administration of the Plan shall be final, conclusive, and binding on all parties.</w:t>
      </w:r>
    </w:p>
    <w:p>
      <w:pPr>
        <w:spacing w:after="0" w:line="219" w:lineRule="exact"/>
        <w:rPr>
          <w:sz w:val="20"/>
          <w:szCs w:val="20"/>
          <w:color w:val="auto"/>
        </w:rPr>
      </w:pPr>
    </w:p>
    <w:p>
      <w:pPr>
        <w:ind w:left="560" w:hanging="294"/>
        <w:spacing w:after="0"/>
        <w:tabs>
          <w:tab w:leader="none" w:pos="560" w:val="left"/>
        </w:tabs>
        <w:numPr>
          <w:ilvl w:val="0"/>
          <w:numId w:val="45"/>
        </w:numPr>
        <w:rPr>
          <w:rFonts w:ascii="Arial" w:cs="Arial" w:eastAsia="Arial" w:hAnsi="Arial"/>
          <w:sz w:val="22"/>
          <w:szCs w:val="22"/>
          <w:b w:val="1"/>
          <w:bCs w:val="1"/>
          <w:color w:val="010000"/>
        </w:rPr>
      </w:pPr>
      <w:r>
        <w:rPr>
          <w:rFonts w:ascii="Arial" w:cs="Arial" w:eastAsia="Arial" w:hAnsi="Arial"/>
          <w:sz w:val="22"/>
          <w:szCs w:val="22"/>
          <w:b w:val="1"/>
          <w:bCs w:val="1"/>
          <w:color w:val="auto"/>
        </w:rPr>
        <w:t>Plan Amendment and Termination</w:t>
      </w:r>
    </w:p>
    <w:p>
      <w:pPr>
        <w:spacing w:after="0" w:line="117" w:lineRule="exact"/>
        <w:rPr>
          <w:rFonts w:ascii="Arial" w:cs="Arial" w:eastAsia="Arial" w:hAnsi="Arial"/>
          <w:sz w:val="22"/>
          <w:szCs w:val="22"/>
          <w:b w:val="1"/>
          <w:bCs w:val="1"/>
          <w:color w:val="010000"/>
        </w:rPr>
      </w:pPr>
    </w:p>
    <w:p>
      <w:pPr>
        <w:ind w:right="220" w:firstLine="1304"/>
        <w:spacing w:after="0" w:line="356" w:lineRule="auto"/>
        <w:tabs>
          <w:tab w:leader="none" w:pos="1939" w:val="left"/>
        </w:tabs>
        <w:numPr>
          <w:ilvl w:val="1"/>
          <w:numId w:val="45"/>
        </w:numPr>
        <w:rPr>
          <w:rFonts w:ascii="Arial" w:cs="Arial" w:eastAsia="Arial" w:hAnsi="Arial"/>
          <w:sz w:val="22"/>
          <w:szCs w:val="22"/>
          <w:color w:val="010000"/>
        </w:rPr>
      </w:pPr>
      <w:r>
        <w:rPr>
          <w:rFonts w:ascii="Arial" w:cs="Arial" w:eastAsia="Arial" w:hAnsi="Arial"/>
          <w:sz w:val="22"/>
          <w:szCs w:val="22"/>
          <w:color w:val="auto"/>
        </w:rPr>
        <w:t>The Committee may amend, suspend, or terminate the Plan at any time; provided that no amendment, suspension, or termination of the Plan shall, without a Participant’s consent, reduce the Participant’s benefits accrued under the Plan before the date of such</w:t>
      </w:r>
    </w:p>
    <w:p>
      <w:pPr>
        <w:sectPr>
          <w:pgSz w:w="11900" w:h="16838" w:orient="portrait"/>
          <w:cols w:equalWidth="0" w:num="1">
            <w:col w:w="11200"/>
          </w:cols>
          <w:pgMar w:left="320" w:top="144" w:right="379" w:bottom="1440" w:gutter="0" w:footer="0" w:header="0"/>
        </w:sectPr>
      </w:pPr>
    </w:p>
    <w:bookmarkStart w:id="93" w:name="page94"/>
    <w:bookmarkEnd w:id="93"/>
    <w:p>
      <w:pPr>
        <w:jc w:val="center"/>
        <w:ind w:right="-99"/>
        <w:spacing w:after="0"/>
        <w:rPr>
          <w:sz w:val="20"/>
          <w:szCs w:val="20"/>
          <w:color w:val="auto"/>
        </w:rPr>
      </w:pPr>
      <w:r>
        <w:rPr>
          <w:rFonts w:ascii="Arial" w:cs="Arial" w:eastAsia="Arial" w:hAnsi="Arial"/>
          <w:sz w:val="14"/>
          <w:szCs w:val="14"/>
          <w:color w:val="auto"/>
        </w:rPr>
        <w:t>Internal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spacing w:after="0" w:line="356" w:lineRule="auto"/>
        <w:rPr>
          <w:sz w:val="20"/>
          <w:szCs w:val="20"/>
          <w:color w:val="auto"/>
        </w:rPr>
      </w:pPr>
      <w:r>
        <w:rPr>
          <w:rFonts w:ascii="Arial" w:cs="Arial" w:eastAsia="Arial" w:hAnsi="Arial"/>
          <w:sz w:val="22"/>
          <w:szCs w:val="22"/>
          <w:color w:val="auto"/>
        </w:rPr>
        <w:t>amendment, suspension, or termination. To the extent that any rule or procedure adopted by the Committee is inconsistent with a provision of the Plan that is administrative, technical or ministerial in nature, the Plan shall be deemed amended to the extent of the inconsistency.</w:t>
      </w:r>
    </w:p>
    <w:p>
      <w:pPr>
        <w:spacing w:after="0" w:line="211" w:lineRule="exact"/>
        <w:rPr>
          <w:sz w:val="20"/>
          <w:szCs w:val="20"/>
          <w:color w:val="auto"/>
        </w:rPr>
      </w:pPr>
    </w:p>
    <w:p>
      <w:pPr>
        <w:ind w:right="280" w:firstLine="1304"/>
        <w:spacing w:after="0" w:line="356" w:lineRule="auto"/>
        <w:tabs>
          <w:tab w:leader="none" w:pos="1939" w:val="left"/>
        </w:tabs>
        <w:numPr>
          <w:ilvl w:val="1"/>
          <w:numId w:val="46"/>
        </w:numPr>
        <w:rPr>
          <w:rFonts w:ascii="Arial" w:cs="Arial" w:eastAsia="Arial" w:hAnsi="Arial"/>
          <w:sz w:val="22"/>
          <w:szCs w:val="22"/>
          <w:color w:val="010000"/>
        </w:rPr>
      </w:pPr>
      <w:r>
        <w:rPr>
          <w:rFonts w:ascii="Arial" w:cs="Arial" w:eastAsia="Arial" w:hAnsi="Arial"/>
          <w:sz w:val="22"/>
          <w:szCs w:val="22"/>
          <w:color w:val="auto"/>
        </w:rPr>
        <w:t>In the event of suspension of the Plan, no additional deferrals shall be made under the Plan, but all previous deferrals shall accumulate and be distributed in accordance with the otherwise applicable provisions of this Plan, the Prior Plan and the applicable Elections on file.</w:t>
      </w:r>
    </w:p>
    <w:p>
      <w:pPr>
        <w:spacing w:after="0" w:line="210" w:lineRule="exact"/>
        <w:rPr>
          <w:rFonts w:ascii="Arial" w:cs="Arial" w:eastAsia="Arial" w:hAnsi="Arial"/>
          <w:sz w:val="22"/>
          <w:szCs w:val="22"/>
          <w:color w:val="010000"/>
        </w:rPr>
      </w:pPr>
    </w:p>
    <w:p>
      <w:pPr>
        <w:ind w:right="60" w:firstLine="1304"/>
        <w:spacing w:after="0" w:line="408" w:lineRule="auto"/>
        <w:tabs>
          <w:tab w:leader="none" w:pos="1939" w:val="left"/>
        </w:tabs>
        <w:numPr>
          <w:ilvl w:val="1"/>
          <w:numId w:val="46"/>
        </w:numPr>
        <w:rPr>
          <w:rFonts w:ascii="Arial" w:cs="Arial" w:eastAsia="Arial" w:hAnsi="Arial"/>
          <w:sz w:val="19"/>
          <w:szCs w:val="19"/>
          <w:color w:val="010000"/>
        </w:rPr>
      </w:pPr>
      <w:r>
        <w:rPr>
          <w:rFonts w:ascii="Arial" w:cs="Arial" w:eastAsia="Arial" w:hAnsi="Arial"/>
          <w:sz w:val="19"/>
          <w:szCs w:val="19"/>
          <w:color w:val="auto"/>
        </w:rPr>
        <w:t xml:space="preserve">Upon the termination of the Plan with respect to all Participants, and termination of all arrangements sponsored by the Corporation or its affiliates that would be aggregated with the Plan under Section 409A, the Corporation shall have the right, in its sole discretion, and notwithstanding any Elections made by the Participant, to distribute the Participant’s vested Account in full, to the extent permitted under Section 409A. All distributions that may be made pursuant to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6.02(c)</w:t>
      </w:r>
      <w:r>
        <w:rPr>
          <w:rFonts w:ascii="Arial" w:cs="Arial" w:eastAsia="Arial" w:hAnsi="Arial"/>
          <w:sz w:val="19"/>
          <w:szCs w:val="19"/>
          <w:color w:val="auto"/>
        </w:rPr>
        <w:t xml:space="preserve"> shall be made no earlier than the 13th month and no later than the 24 months after the termination of the Plan. The Corporation may not accelerate distributions pursuant to this </w:t>
      </w:r>
      <w:r>
        <w:rPr>
          <w:rFonts w:ascii="Arial" w:cs="Arial" w:eastAsia="Arial" w:hAnsi="Arial"/>
          <w:sz w:val="19"/>
          <w:szCs w:val="19"/>
          <w:u w:val="single" w:color="auto"/>
          <w:color w:val="auto"/>
        </w:rPr>
        <w:t>Section 6.02(c)</w:t>
      </w:r>
      <w:r>
        <w:rPr>
          <w:rFonts w:ascii="Arial" w:cs="Arial" w:eastAsia="Arial" w:hAnsi="Arial"/>
          <w:sz w:val="19"/>
          <w:szCs w:val="19"/>
          <w:color w:val="auto"/>
        </w:rPr>
        <w:t xml:space="preserve"> if the termination of the Plan is proximate to a downturn in the Corporation’s financial health within the meaning of Treas. Reg. Section 1.409A-3(j)(4)(ix)(C)(1). If the Corporation exercises its discretion to accelerate distributions under this </w:t>
      </w:r>
      <w:r>
        <w:rPr>
          <w:rFonts w:ascii="Arial" w:cs="Arial" w:eastAsia="Arial" w:hAnsi="Arial"/>
          <w:sz w:val="19"/>
          <w:szCs w:val="19"/>
          <w:u w:val="single" w:color="auto"/>
          <w:color w:val="auto"/>
        </w:rPr>
        <w:t>Section 6.02(c)</w:t>
      </w:r>
      <w:r>
        <w:rPr>
          <w:rFonts w:ascii="Arial" w:cs="Arial" w:eastAsia="Arial" w:hAnsi="Arial"/>
          <w:sz w:val="19"/>
          <w:szCs w:val="19"/>
          <w:color w:val="auto"/>
        </w:rPr>
        <w:t>, it shall not adopt any new arrangement that would have been aggregated with the Plan under Section 409A within three years following the date of the Plan’s termination. The Committee may also provide for distribution of Plan Accounts following a termination of the Plan under any other circumstances permitted by Section 409A.</w:t>
      </w:r>
    </w:p>
    <w:p>
      <w:pPr>
        <w:spacing w:after="0" w:line="200" w:lineRule="exact"/>
        <w:rPr>
          <w:rFonts w:ascii="Arial" w:cs="Arial" w:eastAsia="Arial" w:hAnsi="Arial"/>
          <w:sz w:val="19"/>
          <w:szCs w:val="19"/>
          <w:color w:val="010000"/>
        </w:rPr>
      </w:pPr>
    </w:p>
    <w:p>
      <w:pPr>
        <w:spacing w:after="0" w:line="332" w:lineRule="exact"/>
        <w:rPr>
          <w:rFonts w:ascii="Arial" w:cs="Arial" w:eastAsia="Arial" w:hAnsi="Arial"/>
          <w:sz w:val="19"/>
          <w:szCs w:val="19"/>
          <w:color w:val="010000"/>
        </w:rPr>
      </w:pPr>
    </w:p>
    <w:p>
      <w:pPr>
        <w:ind w:left="560" w:hanging="354"/>
        <w:spacing w:after="0"/>
        <w:tabs>
          <w:tab w:leader="none" w:pos="560" w:val="left"/>
        </w:tabs>
        <w:numPr>
          <w:ilvl w:val="0"/>
          <w:numId w:val="47"/>
        </w:numPr>
        <w:rPr>
          <w:rFonts w:ascii="Arial" w:cs="Arial" w:eastAsia="Arial" w:hAnsi="Arial"/>
          <w:sz w:val="22"/>
          <w:szCs w:val="22"/>
          <w:b w:val="1"/>
          <w:bCs w:val="1"/>
          <w:color w:val="010000"/>
        </w:rPr>
      </w:pPr>
      <w:r>
        <w:rPr>
          <w:rFonts w:ascii="Arial" w:cs="Arial" w:eastAsia="Arial" w:hAnsi="Arial"/>
          <w:sz w:val="22"/>
          <w:szCs w:val="22"/>
          <w:b w:val="1"/>
          <w:bCs w:val="1"/>
          <w:color w:val="auto"/>
        </w:rPr>
        <w:t>Reports to Participants</w:t>
      </w:r>
    </w:p>
    <w:p>
      <w:pPr>
        <w:spacing w:after="0" w:line="118" w:lineRule="exact"/>
        <w:rPr>
          <w:sz w:val="20"/>
          <w:szCs w:val="20"/>
          <w:color w:val="auto"/>
        </w:rPr>
      </w:pPr>
    </w:p>
    <w:p>
      <w:pPr>
        <w:ind w:right="520" w:firstLine="648"/>
        <w:spacing w:after="0" w:line="395" w:lineRule="auto"/>
        <w:rPr>
          <w:sz w:val="20"/>
          <w:szCs w:val="20"/>
          <w:color w:val="auto"/>
        </w:rPr>
      </w:pPr>
      <w:r>
        <w:rPr>
          <w:rFonts w:ascii="Arial" w:cs="Arial" w:eastAsia="Arial" w:hAnsi="Arial"/>
          <w:sz w:val="21"/>
          <w:szCs w:val="21"/>
          <w:color w:val="auto"/>
        </w:rPr>
        <w:t>The Committee shall make available an annual statement to each Participant reporting the value of the Participant’s Account and his or her account(s) under the Prior Plan as of the end of the most recent Plan Year.</w:t>
      </w:r>
    </w:p>
    <w:p>
      <w:pPr>
        <w:spacing w:after="0" w:line="171" w:lineRule="exact"/>
        <w:rPr>
          <w:sz w:val="20"/>
          <w:szCs w:val="20"/>
          <w:color w:val="auto"/>
        </w:rPr>
      </w:pPr>
    </w:p>
    <w:p>
      <w:pPr>
        <w:ind w:left="560" w:hanging="342"/>
        <w:spacing w:after="0"/>
        <w:tabs>
          <w:tab w:leader="none" w:pos="560" w:val="left"/>
        </w:tabs>
        <w:numPr>
          <w:ilvl w:val="0"/>
          <w:numId w:val="48"/>
        </w:numPr>
        <w:rPr>
          <w:rFonts w:ascii="Arial" w:cs="Arial" w:eastAsia="Arial" w:hAnsi="Arial"/>
          <w:sz w:val="22"/>
          <w:szCs w:val="22"/>
          <w:b w:val="1"/>
          <w:bCs w:val="1"/>
          <w:color w:val="010000"/>
        </w:rPr>
      </w:pPr>
      <w:r>
        <w:rPr>
          <w:rFonts w:ascii="Arial" w:cs="Arial" w:eastAsia="Arial" w:hAnsi="Arial"/>
          <w:sz w:val="22"/>
          <w:szCs w:val="22"/>
          <w:b w:val="1"/>
          <w:bCs w:val="1"/>
          <w:color w:val="auto"/>
        </w:rPr>
        <w:t>Delegation of Authority</w:t>
      </w:r>
    </w:p>
    <w:p>
      <w:pPr>
        <w:sectPr>
          <w:pgSz w:w="11900" w:h="16838" w:orient="portrait"/>
          <w:cols w:equalWidth="0" w:num="1">
            <w:col w:w="11140"/>
          </w:cols>
          <w:pgMar w:left="320" w:top="144" w:right="439" w:bottom="1440" w:gutter="0" w:footer="0" w:header="0"/>
        </w:sectPr>
      </w:pPr>
    </w:p>
    <w:bookmarkStart w:id="94" w:name="page95"/>
    <w:bookmarkEnd w:id="94"/>
    <w:p>
      <w:pPr>
        <w:jc w:val="center"/>
        <w:ind w:right="-39"/>
        <w:spacing w:after="0"/>
        <w:rPr>
          <w:sz w:val="20"/>
          <w:szCs w:val="20"/>
          <w:color w:val="auto"/>
        </w:rPr>
      </w:pPr>
      <w:r>
        <w:rPr>
          <w:rFonts w:ascii="Arial" w:cs="Arial" w:eastAsia="Arial" w:hAnsi="Arial"/>
          <w:sz w:val="14"/>
          <w:szCs w:val="14"/>
          <w:color w:val="auto"/>
        </w:rPr>
        <w:t>Internal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220" w:firstLine="648"/>
        <w:spacing w:after="0" w:line="366" w:lineRule="auto"/>
        <w:rPr>
          <w:sz w:val="20"/>
          <w:szCs w:val="20"/>
          <w:color w:val="auto"/>
        </w:rPr>
      </w:pPr>
      <w:r>
        <w:rPr>
          <w:rFonts w:ascii="Arial" w:cs="Arial" w:eastAsia="Arial" w:hAnsi="Arial"/>
          <w:sz w:val="22"/>
          <w:szCs w:val="22"/>
          <w:color w:val="auto"/>
        </w:rPr>
        <w:t>The Committee may delegate to officers of the Corporation any and all authority with which it is vested under the Plan, and the Committee may allocate its responsibilities under the Plan among its members.</w:t>
      </w:r>
    </w:p>
    <w:p>
      <w:pPr>
        <w:spacing w:after="0" w:line="194" w:lineRule="exact"/>
        <w:rPr>
          <w:sz w:val="20"/>
          <w:szCs w:val="20"/>
          <w:color w:val="auto"/>
        </w:rPr>
      </w:pPr>
    </w:p>
    <w:p>
      <w:pPr>
        <w:ind w:left="560" w:hanging="282"/>
        <w:spacing w:after="0"/>
        <w:tabs>
          <w:tab w:leader="none" w:pos="560" w:val="left"/>
        </w:tabs>
        <w:numPr>
          <w:ilvl w:val="0"/>
          <w:numId w:val="49"/>
        </w:numPr>
        <w:rPr>
          <w:rFonts w:ascii="Arial" w:cs="Arial" w:eastAsia="Arial" w:hAnsi="Arial"/>
          <w:sz w:val="22"/>
          <w:szCs w:val="22"/>
          <w:b w:val="1"/>
          <w:bCs w:val="1"/>
          <w:color w:val="010000"/>
        </w:rPr>
      </w:pPr>
      <w:r>
        <w:rPr>
          <w:rFonts w:ascii="Arial" w:cs="Arial" w:eastAsia="Arial" w:hAnsi="Arial"/>
          <w:sz w:val="22"/>
          <w:szCs w:val="22"/>
          <w:b w:val="1"/>
          <w:bCs w:val="1"/>
          <w:color w:val="auto"/>
        </w:rPr>
        <w:t>Distribution of Shares</w:t>
      </w:r>
    </w:p>
    <w:p>
      <w:pPr>
        <w:spacing w:after="0" w:line="118" w:lineRule="exact"/>
        <w:rPr>
          <w:sz w:val="20"/>
          <w:szCs w:val="20"/>
          <w:color w:val="auto"/>
        </w:rPr>
      </w:pPr>
    </w:p>
    <w:p>
      <w:pPr>
        <w:ind w:firstLine="648"/>
        <w:spacing w:after="0" w:line="398" w:lineRule="auto"/>
        <w:rPr>
          <w:sz w:val="20"/>
          <w:szCs w:val="20"/>
          <w:color w:val="auto"/>
        </w:rPr>
      </w:pPr>
      <w:r>
        <w:rPr>
          <w:rFonts w:ascii="Arial" w:cs="Arial" w:eastAsia="Arial" w:hAnsi="Arial"/>
          <w:sz w:val="19"/>
          <w:szCs w:val="19"/>
          <w:color w:val="auto"/>
        </w:rPr>
        <w:t>The UTC Deferred Stock Units granted under the Plan shall be issued under the LTIP, but subject to administration and distribution in accordance with the terms of this Plan. All shares of UTC Common Stock so distributed in accordance with the terms of the Plan shall be transferred to a brokerage account designated by the Participant entitled to receive the shares. This Plan shall be under no obligation to hold or issue shares of Carrier or Otis Common Stock.</w:t>
      </w:r>
    </w:p>
    <w:p>
      <w:pPr>
        <w:spacing w:after="0" w:line="3" w:lineRule="exact"/>
        <w:rPr>
          <w:sz w:val="20"/>
          <w:szCs w:val="20"/>
          <w:color w:val="auto"/>
        </w:rPr>
      </w:pPr>
    </w:p>
    <w:p>
      <w:pPr>
        <w:ind w:left="3580"/>
        <w:spacing w:after="0"/>
        <w:rPr>
          <w:sz w:val="20"/>
          <w:szCs w:val="20"/>
          <w:color w:val="auto"/>
        </w:rPr>
      </w:pPr>
      <w:r>
        <w:rPr>
          <w:rFonts w:ascii="Arial" w:cs="Arial" w:eastAsia="Arial" w:hAnsi="Arial"/>
          <w:sz w:val="22"/>
          <w:szCs w:val="22"/>
          <w:b w:val="1"/>
          <w:bCs w:val="1"/>
          <w:color w:val="010000"/>
        </w:rPr>
        <w:t xml:space="preserve">Article VII. </w:t>
      </w:r>
      <w:r>
        <w:rPr>
          <w:rFonts w:ascii="Arial" w:cs="Arial" w:eastAsia="Arial" w:hAnsi="Arial"/>
          <w:sz w:val="22"/>
          <w:szCs w:val="22"/>
          <w:b w:val="1"/>
          <w:bCs w:val="1"/>
          <w:color w:val="000000"/>
        </w:rPr>
        <w:t>MISCELLANEOUS</w:t>
      </w:r>
    </w:p>
    <w:p>
      <w:pPr>
        <w:spacing w:after="0" w:line="355" w:lineRule="exact"/>
        <w:rPr>
          <w:sz w:val="20"/>
          <w:szCs w:val="20"/>
          <w:color w:val="auto"/>
        </w:rPr>
      </w:pPr>
    </w:p>
    <w:p>
      <w:pPr>
        <w:ind w:left="560" w:hanging="234"/>
        <w:spacing w:after="0"/>
        <w:tabs>
          <w:tab w:leader="none" w:pos="560" w:val="left"/>
        </w:tabs>
        <w:numPr>
          <w:ilvl w:val="0"/>
          <w:numId w:val="50"/>
        </w:numPr>
        <w:rPr>
          <w:rFonts w:ascii="Arial" w:cs="Arial" w:eastAsia="Arial" w:hAnsi="Arial"/>
          <w:sz w:val="22"/>
          <w:szCs w:val="22"/>
          <w:b w:val="1"/>
          <w:bCs w:val="1"/>
          <w:color w:val="010000"/>
        </w:rPr>
      </w:pPr>
      <w:r>
        <w:rPr>
          <w:rFonts w:ascii="Arial" w:cs="Arial" w:eastAsia="Arial" w:hAnsi="Arial"/>
          <w:sz w:val="22"/>
          <w:szCs w:val="22"/>
          <w:b w:val="1"/>
          <w:bCs w:val="1"/>
          <w:color w:val="auto"/>
        </w:rPr>
        <w:t>Rights Not Assignable</w:t>
      </w:r>
    </w:p>
    <w:p>
      <w:pPr>
        <w:spacing w:after="0" w:line="118" w:lineRule="exact"/>
        <w:rPr>
          <w:sz w:val="20"/>
          <w:szCs w:val="20"/>
          <w:color w:val="auto"/>
        </w:rPr>
      </w:pPr>
    </w:p>
    <w:p>
      <w:pPr>
        <w:ind w:right="100" w:firstLine="648"/>
        <w:spacing w:after="0" w:line="409" w:lineRule="auto"/>
        <w:rPr>
          <w:sz w:val="20"/>
          <w:szCs w:val="20"/>
          <w:color w:val="auto"/>
        </w:rPr>
      </w:pPr>
      <w:r>
        <w:rPr>
          <w:rFonts w:ascii="Arial" w:cs="Arial" w:eastAsia="Arial" w:hAnsi="Arial"/>
          <w:sz w:val="19"/>
          <w:szCs w:val="19"/>
          <w:color w:val="auto"/>
        </w:rPr>
        <w:t>No payment due under the Plan shall be subject in any manner to anticipation, alienation, sale, transfer, assignment, pledge, encumbrance, or charge in any other way. Any attempt to anticipate, alienate, sell, transfer, assign, pledge, encumber, or charge such payment in any other way shall be void. No such payment or interest therein shall be liable for or subject to the debts, contracts, liabilities, or torts of any Participant or Beneficiary. If any Participant or Beneficiary becomes bankrupt or attempts to anticipate, alienate, sell, transfer, assign, pledge, encumber, or charge in any other way any payment under the Plan, the Committee may direct that such payment be suspended and that all future payments to which such Participant or Beneficiary otherwise would be entitled be held and applied for the benefit of such person, the person’s children or other dependents, or any of them, in such manner and in such proportions as the Committee may deem proper.</w:t>
      </w:r>
    </w:p>
    <w:p>
      <w:pPr>
        <w:spacing w:after="0" w:line="174" w:lineRule="exact"/>
        <w:rPr>
          <w:sz w:val="20"/>
          <w:szCs w:val="20"/>
          <w:color w:val="auto"/>
        </w:rPr>
      </w:pPr>
    </w:p>
    <w:p>
      <w:pPr>
        <w:ind w:left="560" w:hanging="294"/>
        <w:spacing w:after="0"/>
        <w:tabs>
          <w:tab w:leader="none" w:pos="560" w:val="left"/>
        </w:tabs>
        <w:numPr>
          <w:ilvl w:val="0"/>
          <w:numId w:val="51"/>
        </w:numPr>
        <w:rPr>
          <w:rFonts w:ascii="Arial" w:cs="Arial" w:eastAsia="Arial" w:hAnsi="Arial"/>
          <w:sz w:val="22"/>
          <w:szCs w:val="22"/>
          <w:b w:val="1"/>
          <w:bCs w:val="1"/>
          <w:color w:val="010000"/>
        </w:rPr>
      </w:pPr>
      <w:r>
        <w:rPr>
          <w:rFonts w:ascii="Arial" w:cs="Arial" w:eastAsia="Arial" w:hAnsi="Arial"/>
          <w:sz w:val="22"/>
          <w:szCs w:val="22"/>
          <w:b w:val="1"/>
          <w:bCs w:val="1"/>
          <w:color w:val="auto"/>
        </w:rPr>
        <w:t>Certain Rights Reserved</w:t>
      </w:r>
    </w:p>
    <w:p>
      <w:pPr>
        <w:spacing w:after="0" w:line="118" w:lineRule="exact"/>
        <w:rPr>
          <w:sz w:val="20"/>
          <w:szCs w:val="20"/>
          <w:color w:val="auto"/>
        </w:rPr>
      </w:pPr>
    </w:p>
    <w:p>
      <w:pPr>
        <w:ind w:right="80" w:firstLine="648"/>
        <w:spacing w:after="0" w:line="366" w:lineRule="auto"/>
        <w:rPr>
          <w:sz w:val="20"/>
          <w:szCs w:val="20"/>
          <w:color w:val="auto"/>
        </w:rPr>
      </w:pPr>
      <w:r>
        <w:rPr>
          <w:rFonts w:ascii="Arial" w:cs="Arial" w:eastAsia="Arial" w:hAnsi="Arial"/>
          <w:sz w:val="22"/>
          <w:szCs w:val="22"/>
          <w:color w:val="auto"/>
        </w:rPr>
        <w:t>Nothing in the Plan shall confer upon any person the right to continue to serve as a member of the Board or to participate in the Plan other than in accordance with its terms.</w:t>
      </w:r>
    </w:p>
    <w:p>
      <w:pPr>
        <w:sectPr>
          <w:pgSz w:w="11900" w:h="16838" w:orient="portrait"/>
          <w:cols w:equalWidth="0" w:num="1">
            <w:col w:w="11200"/>
          </w:cols>
          <w:pgMar w:left="320" w:top="144" w:right="379" w:bottom="1440" w:gutter="0" w:footer="0" w:header="0"/>
        </w:sectPr>
      </w:pPr>
    </w:p>
    <w:bookmarkStart w:id="95" w:name="page96"/>
    <w:bookmarkEnd w:id="95"/>
    <w:p>
      <w:pPr>
        <w:jc w:val="center"/>
        <w:ind w:right="-39"/>
        <w:spacing w:after="0"/>
        <w:rPr>
          <w:sz w:val="20"/>
          <w:szCs w:val="20"/>
          <w:color w:val="auto"/>
        </w:rPr>
      </w:pPr>
      <w:r>
        <w:rPr>
          <w:rFonts w:ascii="Arial" w:cs="Arial" w:eastAsia="Arial" w:hAnsi="Arial"/>
          <w:sz w:val="14"/>
          <w:szCs w:val="14"/>
          <w:color w:val="auto"/>
        </w:rPr>
        <w:t>Internal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60" w:hanging="354"/>
        <w:spacing w:after="0"/>
        <w:tabs>
          <w:tab w:leader="none" w:pos="560" w:val="left"/>
        </w:tabs>
        <w:numPr>
          <w:ilvl w:val="0"/>
          <w:numId w:val="52"/>
        </w:numPr>
        <w:rPr>
          <w:rFonts w:ascii="Arial" w:cs="Arial" w:eastAsia="Arial" w:hAnsi="Arial"/>
          <w:sz w:val="22"/>
          <w:szCs w:val="22"/>
          <w:b w:val="1"/>
          <w:bCs w:val="1"/>
          <w:color w:val="010000"/>
        </w:rPr>
      </w:pPr>
      <w:r>
        <w:rPr>
          <w:rFonts w:ascii="Arial" w:cs="Arial" w:eastAsia="Arial" w:hAnsi="Arial"/>
          <w:sz w:val="22"/>
          <w:szCs w:val="22"/>
          <w:b w:val="1"/>
          <w:bCs w:val="1"/>
          <w:color w:val="auto"/>
        </w:rPr>
        <w:t>Withholding Taxes</w:t>
      </w:r>
    </w:p>
    <w:p>
      <w:pPr>
        <w:spacing w:after="0" w:line="118" w:lineRule="exact"/>
        <w:rPr>
          <w:sz w:val="20"/>
          <w:szCs w:val="20"/>
          <w:color w:val="auto"/>
        </w:rPr>
      </w:pPr>
    </w:p>
    <w:p>
      <w:pPr>
        <w:ind w:firstLine="648"/>
        <w:spacing w:after="0" w:line="395" w:lineRule="auto"/>
        <w:rPr>
          <w:sz w:val="20"/>
          <w:szCs w:val="20"/>
          <w:color w:val="auto"/>
        </w:rPr>
      </w:pPr>
      <w:r>
        <w:rPr>
          <w:rFonts w:ascii="Arial" w:cs="Arial" w:eastAsia="Arial" w:hAnsi="Arial"/>
          <w:sz w:val="21"/>
          <w:szCs w:val="21"/>
          <w:color w:val="auto"/>
        </w:rPr>
        <w:t>The Committee may make any appropriate arrangements to deduct from all credits and payments under the Plan any taxes that the Committee determines to be required by law to be withheld from such credits and payments.</w:t>
      </w:r>
    </w:p>
    <w:p>
      <w:pPr>
        <w:spacing w:after="0" w:line="171" w:lineRule="exact"/>
        <w:rPr>
          <w:sz w:val="20"/>
          <w:szCs w:val="20"/>
          <w:color w:val="auto"/>
        </w:rPr>
      </w:pPr>
    </w:p>
    <w:p>
      <w:pPr>
        <w:ind w:left="560" w:hanging="342"/>
        <w:spacing w:after="0"/>
        <w:tabs>
          <w:tab w:leader="none" w:pos="560" w:val="left"/>
        </w:tabs>
        <w:numPr>
          <w:ilvl w:val="0"/>
          <w:numId w:val="53"/>
        </w:numPr>
        <w:rPr>
          <w:rFonts w:ascii="Arial" w:cs="Arial" w:eastAsia="Arial" w:hAnsi="Arial"/>
          <w:sz w:val="22"/>
          <w:szCs w:val="22"/>
          <w:b w:val="1"/>
          <w:bCs w:val="1"/>
          <w:color w:val="010000"/>
        </w:rPr>
      </w:pPr>
      <w:r>
        <w:rPr>
          <w:rFonts w:ascii="Arial" w:cs="Arial" w:eastAsia="Arial" w:hAnsi="Arial"/>
          <w:sz w:val="22"/>
          <w:szCs w:val="22"/>
          <w:b w:val="1"/>
          <w:bCs w:val="1"/>
          <w:color w:val="auto"/>
        </w:rPr>
        <w:t>Compliance with Section 409A</w:t>
      </w:r>
    </w:p>
    <w:p>
      <w:pPr>
        <w:spacing w:after="0" w:line="118" w:lineRule="exact"/>
        <w:rPr>
          <w:sz w:val="20"/>
          <w:szCs w:val="20"/>
          <w:color w:val="auto"/>
        </w:rPr>
      </w:pPr>
    </w:p>
    <w:p>
      <w:pPr>
        <w:ind w:right="20" w:firstLine="648"/>
        <w:spacing w:after="0" w:line="405"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u w:val="single" w:color="auto"/>
          <w:color w:val="auto"/>
        </w:rPr>
        <w:t>Section 7.04</w:t>
      </w:r>
      <w:r>
        <w:rPr>
          <w:rFonts w:ascii="Arial" w:cs="Arial" w:eastAsia="Arial" w:hAnsi="Arial"/>
          <w:sz w:val="19"/>
          <w:szCs w:val="19"/>
          <w:color w:val="auto"/>
        </w:rPr>
        <w:t xml:space="preserve"> shall apply notwithstanding any other provision of this Plan. To the extent that rights or payments under this Plan are subject to Section 409A, the Plan shall be construed and administered in compliance with the conditions of Section 409A and regulations and other guidance issued pursuant to Section 409A for deferral of income taxation until the time the compensation is paid. Any distribution election that would not comply with Section 409A of the Code shall not be effective for purposes of this Plan. To the extent that a provision of this Plan does not comply with Section 409A of the Code, such provision shall be void and without effect. The Corporation does not warrant that the Plan will comply with Section 409A of the Code with respect to any Participant or with respect to any payment, however. In no event shall the Corporation; any director, officer, or employee of the Corporation (other than the Participant); or any member of the Committee be liable for any additional tax, interest, or penalty incurred by a Participant or Beneficiary as a result of the Plan’s failure to satisfy the requirements of Section 409A, or as a result of the Plan’s failure to satisfy any other requirements of applicable tax laws. In the event that a Participant is a “specified employee” within the meaning of Section 409A (as determined in accordance with the methodology established by the Corporation), amounts that constitute “non-qualified deferred compensation” within the meaning of Section 409A that would otherwise be payable during the six-month period immediately following a Participant’s Separation from Service by reason of such Separation from Service shall instead be paid or provided on the first business day of the seventh month following the month in which Participant’s Separation from Service occurs.</w:t>
      </w:r>
    </w:p>
    <w:p>
      <w:pPr>
        <w:spacing w:after="0" w:line="200" w:lineRule="exact"/>
        <w:rPr>
          <w:sz w:val="20"/>
          <w:szCs w:val="20"/>
          <w:color w:val="auto"/>
        </w:rPr>
      </w:pPr>
    </w:p>
    <w:p>
      <w:pPr>
        <w:spacing w:after="0" w:line="343" w:lineRule="exact"/>
        <w:rPr>
          <w:sz w:val="20"/>
          <w:szCs w:val="20"/>
          <w:color w:val="auto"/>
        </w:rPr>
      </w:pPr>
    </w:p>
    <w:p>
      <w:pPr>
        <w:ind w:left="560" w:hanging="282"/>
        <w:spacing w:after="0"/>
        <w:tabs>
          <w:tab w:leader="none" w:pos="560" w:val="left"/>
        </w:tabs>
        <w:numPr>
          <w:ilvl w:val="0"/>
          <w:numId w:val="54"/>
        </w:numPr>
        <w:rPr>
          <w:rFonts w:ascii="Arial" w:cs="Arial" w:eastAsia="Arial" w:hAnsi="Arial"/>
          <w:sz w:val="22"/>
          <w:szCs w:val="22"/>
          <w:b w:val="1"/>
          <w:bCs w:val="1"/>
          <w:color w:val="010000"/>
        </w:rPr>
      </w:pPr>
      <w:r>
        <w:rPr>
          <w:rFonts w:ascii="Arial" w:cs="Arial" w:eastAsia="Arial" w:hAnsi="Arial"/>
          <w:sz w:val="22"/>
          <w:szCs w:val="22"/>
          <w:b w:val="1"/>
          <w:bCs w:val="1"/>
          <w:color w:val="auto"/>
        </w:rPr>
        <w:t>Incompetence</w:t>
      </w:r>
    </w:p>
    <w:p>
      <w:pPr>
        <w:spacing w:after="0" w:line="118" w:lineRule="exact"/>
        <w:rPr>
          <w:sz w:val="20"/>
          <w:szCs w:val="20"/>
          <w:color w:val="auto"/>
        </w:rPr>
      </w:pPr>
    </w:p>
    <w:p>
      <w:pPr>
        <w:ind w:right="80" w:firstLine="648"/>
        <w:spacing w:after="0" w:line="356" w:lineRule="auto"/>
        <w:rPr>
          <w:sz w:val="20"/>
          <w:szCs w:val="20"/>
          <w:color w:val="auto"/>
        </w:rPr>
      </w:pPr>
      <w:r>
        <w:rPr>
          <w:rFonts w:ascii="Arial" w:cs="Arial" w:eastAsia="Arial" w:hAnsi="Arial"/>
          <w:sz w:val="22"/>
          <w:szCs w:val="22"/>
          <w:color w:val="auto"/>
        </w:rPr>
        <w:t>If the Committee determines, upon evidence satisfactory to the Committee, that any Participant or Beneficiary to whom a distribution is due under the Plan is unable to care for his or her affairs because of illness or accident or otherwise, any distribution that is due under the Plan</w:t>
      </w:r>
    </w:p>
    <w:p>
      <w:pPr>
        <w:sectPr>
          <w:pgSz w:w="11900" w:h="16838" w:orient="portrait"/>
          <w:cols w:equalWidth="0" w:num="1">
            <w:col w:w="11220"/>
          </w:cols>
          <w:pgMar w:left="320" w:top="144" w:right="35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4"/>
          <w:szCs w:val="14"/>
          <w:color w:val="auto"/>
        </w:rPr>
        <w:t>Internal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line="350" w:lineRule="auto"/>
        <w:rPr>
          <w:sz w:val="20"/>
          <w:szCs w:val="20"/>
          <w:color w:val="auto"/>
        </w:rPr>
      </w:pPr>
      <w:r>
        <w:rPr>
          <w:rFonts w:ascii="Arial" w:cs="Arial" w:eastAsia="Arial" w:hAnsi="Arial"/>
          <w:sz w:val="22"/>
          <w:szCs w:val="22"/>
          <w:color w:val="auto"/>
        </w:rPr>
        <w:t>(unless prior claim therefore shall have been made by a duly authorized guardian or other legal representative) may be distributed, upon appropriate indemnification of the Committee and the Company, to the spouse of the Participant, or Beneficiary, or other person deemed by the Committee to have incurred expenses for the benefit of and on behalf of such Participant or Beneficiary. Any such distribution of shares or cash payment (as the case may be) shall be a complete discharge of any liability under the Plan with respect to the amount so distributed or paid.</w:t>
      </w:r>
    </w:p>
    <w:p>
      <w:pPr>
        <w:spacing w:after="0" w:line="215" w:lineRule="exact"/>
        <w:rPr>
          <w:sz w:val="20"/>
          <w:szCs w:val="20"/>
          <w:color w:val="auto"/>
        </w:rPr>
      </w:pPr>
    </w:p>
    <w:p>
      <w:pPr>
        <w:ind w:left="560" w:hanging="342"/>
        <w:spacing w:after="0"/>
        <w:tabs>
          <w:tab w:leader="none" w:pos="560" w:val="left"/>
        </w:tabs>
        <w:numPr>
          <w:ilvl w:val="0"/>
          <w:numId w:val="55"/>
        </w:numPr>
        <w:rPr>
          <w:rFonts w:ascii="Arial" w:cs="Arial" w:eastAsia="Arial" w:hAnsi="Arial"/>
          <w:sz w:val="22"/>
          <w:szCs w:val="22"/>
          <w:b w:val="1"/>
          <w:bCs w:val="1"/>
          <w:color w:val="010000"/>
        </w:rPr>
      </w:pPr>
      <w:r>
        <w:rPr>
          <w:rFonts w:ascii="Arial" w:cs="Arial" w:eastAsia="Arial" w:hAnsi="Arial"/>
          <w:sz w:val="22"/>
          <w:szCs w:val="22"/>
          <w:b w:val="1"/>
          <w:bCs w:val="1"/>
          <w:color w:val="auto"/>
        </w:rPr>
        <w:t>Inability to Locate Participants and Beneficiaries</w:t>
      </w:r>
    </w:p>
    <w:p>
      <w:pPr>
        <w:spacing w:after="0" w:line="118" w:lineRule="exact"/>
        <w:rPr>
          <w:sz w:val="20"/>
          <w:szCs w:val="20"/>
          <w:color w:val="auto"/>
        </w:rPr>
      </w:pPr>
    </w:p>
    <w:p>
      <w:pPr>
        <w:ind w:right="40" w:firstLine="648"/>
        <w:spacing w:after="0" w:line="352" w:lineRule="auto"/>
        <w:rPr>
          <w:sz w:val="20"/>
          <w:szCs w:val="20"/>
          <w:color w:val="auto"/>
        </w:rPr>
      </w:pPr>
      <w:r>
        <w:rPr>
          <w:rFonts w:ascii="Arial" w:cs="Arial" w:eastAsia="Arial" w:hAnsi="Arial"/>
          <w:sz w:val="22"/>
          <w:szCs w:val="22"/>
          <w:color w:val="auto"/>
        </w:rPr>
        <w:t>Each Participant and Beneficiary entitled to receive a distribution under the Plan shall keep the Committee advised of his or her current address. If the Committee is unable to locate a Participant or Beneficiary to whom a distribution is due under the Plan, the total amount payable to such Participant or Beneficiary shall be forfeited as of the last day of the calendar year in which the distribution first becomes due.</w:t>
      </w:r>
    </w:p>
    <w:p>
      <w:pPr>
        <w:spacing w:after="0" w:line="211" w:lineRule="exact"/>
        <w:rPr>
          <w:sz w:val="20"/>
          <w:szCs w:val="20"/>
          <w:color w:val="auto"/>
        </w:rPr>
      </w:pPr>
    </w:p>
    <w:p>
      <w:pPr>
        <w:ind w:left="560" w:hanging="402"/>
        <w:spacing w:after="0"/>
        <w:tabs>
          <w:tab w:leader="none" w:pos="560" w:val="left"/>
        </w:tabs>
        <w:numPr>
          <w:ilvl w:val="0"/>
          <w:numId w:val="56"/>
        </w:numPr>
        <w:rPr>
          <w:rFonts w:ascii="Arial" w:cs="Arial" w:eastAsia="Arial" w:hAnsi="Arial"/>
          <w:sz w:val="22"/>
          <w:szCs w:val="22"/>
          <w:b w:val="1"/>
          <w:bCs w:val="1"/>
          <w:color w:val="010000"/>
        </w:rPr>
      </w:pPr>
      <w:r>
        <w:rPr>
          <w:rFonts w:ascii="Arial" w:cs="Arial" w:eastAsia="Arial" w:hAnsi="Arial"/>
          <w:sz w:val="22"/>
          <w:szCs w:val="22"/>
          <w:b w:val="1"/>
          <w:bCs w:val="1"/>
          <w:color w:val="auto"/>
        </w:rPr>
        <w:t>Successors</w:t>
      </w:r>
    </w:p>
    <w:p>
      <w:pPr>
        <w:spacing w:after="0" w:line="118" w:lineRule="exact"/>
        <w:rPr>
          <w:sz w:val="20"/>
          <w:szCs w:val="20"/>
          <w:color w:val="auto"/>
        </w:rPr>
      </w:pPr>
    </w:p>
    <w:p>
      <w:pPr>
        <w:ind w:right="140" w:firstLine="648"/>
        <w:spacing w:after="0" w:line="352" w:lineRule="auto"/>
        <w:rPr>
          <w:sz w:val="20"/>
          <w:szCs w:val="20"/>
          <w:color w:val="auto"/>
        </w:rPr>
      </w:pPr>
      <w:r>
        <w:rPr>
          <w:rFonts w:ascii="Arial" w:cs="Arial" w:eastAsia="Arial" w:hAnsi="Arial"/>
          <w:sz w:val="22"/>
          <w:szCs w:val="22"/>
          <w:color w:val="auto"/>
        </w:rPr>
        <w:t>The provisions of the Plan shall bind and inure to the benefit of the Corporation and its successors and assigns. The term “successors” as used in the preceding sentence shall include any corporation or other business entity that by merger, consolidation, purchase, or otherwise acquires all or substantially all of the business and assets of the Corporation, and any successors and assigns of any such corporation or other business entity.</w:t>
      </w:r>
    </w:p>
    <w:p>
      <w:pPr>
        <w:spacing w:after="0" w:line="211" w:lineRule="exact"/>
        <w:rPr>
          <w:sz w:val="20"/>
          <w:szCs w:val="20"/>
          <w:color w:val="auto"/>
        </w:rPr>
      </w:pPr>
    </w:p>
    <w:p>
      <w:pPr>
        <w:ind w:left="560" w:hanging="462"/>
        <w:spacing w:after="0"/>
        <w:tabs>
          <w:tab w:leader="none" w:pos="560" w:val="left"/>
        </w:tabs>
        <w:numPr>
          <w:ilvl w:val="0"/>
          <w:numId w:val="57"/>
        </w:numPr>
        <w:rPr>
          <w:rFonts w:ascii="Arial" w:cs="Arial" w:eastAsia="Arial" w:hAnsi="Arial"/>
          <w:sz w:val="22"/>
          <w:szCs w:val="22"/>
          <w:b w:val="1"/>
          <w:bCs w:val="1"/>
          <w:color w:val="010000"/>
        </w:rPr>
      </w:pPr>
      <w:r>
        <w:rPr>
          <w:rFonts w:ascii="Arial" w:cs="Arial" w:eastAsia="Arial" w:hAnsi="Arial"/>
          <w:sz w:val="22"/>
          <w:szCs w:val="22"/>
          <w:b w:val="1"/>
          <w:bCs w:val="1"/>
          <w:color w:val="auto"/>
        </w:rPr>
        <w:t>Usage</w:t>
      </w:r>
    </w:p>
    <w:p>
      <w:pPr>
        <w:spacing w:after="0" w:line="118" w:lineRule="exact"/>
        <w:rPr>
          <w:sz w:val="20"/>
          <w:szCs w:val="20"/>
          <w:color w:val="auto"/>
        </w:rPr>
      </w:pPr>
    </w:p>
    <w:p>
      <w:pPr>
        <w:ind w:right="80" w:firstLine="1304"/>
        <w:spacing w:after="0" w:line="461" w:lineRule="auto"/>
        <w:tabs>
          <w:tab w:leader="none" w:pos="1939" w:val="left"/>
        </w:tabs>
        <w:numPr>
          <w:ilvl w:val="1"/>
          <w:numId w:val="58"/>
        </w:numPr>
        <w:rPr>
          <w:rFonts w:ascii="Arial" w:cs="Arial" w:eastAsia="Arial" w:hAnsi="Arial"/>
          <w:sz w:val="19"/>
          <w:szCs w:val="19"/>
          <w:color w:val="010000"/>
        </w:rPr>
      </w:pPr>
      <w:r>
        <w:rPr>
          <w:rFonts w:ascii="Arial" w:cs="Arial" w:eastAsia="Arial" w:hAnsi="Arial"/>
          <w:sz w:val="19"/>
          <w:szCs w:val="19"/>
          <w:i w:val="1"/>
          <w:iCs w:val="1"/>
          <w:color w:val="auto"/>
        </w:rPr>
        <w:t xml:space="preserve">Titles and Headings. </w:t>
      </w:r>
      <w:r>
        <w:rPr>
          <w:rFonts w:ascii="Arial" w:cs="Arial" w:eastAsia="Arial" w:hAnsi="Arial"/>
          <w:sz w:val="19"/>
          <w:szCs w:val="19"/>
          <w:color w:val="auto"/>
        </w:rPr>
        <w:t>The titles to Articles and the headings of Sections, subsections, and paragraphs in the</w:t>
      </w:r>
      <w:r>
        <w:rPr>
          <w:rFonts w:ascii="Arial" w:cs="Arial" w:eastAsia="Arial" w:hAnsi="Arial"/>
          <w:sz w:val="19"/>
          <w:szCs w:val="19"/>
          <w:i w:val="1"/>
          <w:iCs w:val="1"/>
          <w:color w:val="auto"/>
        </w:rPr>
        <w:t xml:space="preserve"> </w:t>
      </w:r>
      <w:r>
        <w:rPr>
          <w:rFonts w:ascii="Arial" w:cs="Arial" w:eastAsia="Arial" w:hAnsi="Arial"/>
          <w:sz w:val="19"/>
          <w:szCs w:val="19"/>
          <w:color w:val="auto"/>
        </w:rPr>
        <w:t>Plan are placed herein for convenience of reference only and shall be of no force or effect in the interpretation of the Plan.</w:t>
      </w:r>
    </w:p>
    <w:p>
      <w:pPr>
        <w:spacing w:after="0" w:line="132" w:lineRule="exact"/>
        <w:rPr>
          <w:rFonts w:ascii="Arial" w:cs="Arial" w:eastAsia="Arial" w:hAnsi="Arial"/>
          <w:sz w:val="19"/>
          <w:szCs w:val="19"/>
          <w:color w:val="010000"/>
        </w:rPr>
      </w:pPr>
    </w:p>
    <w:p>
      <w:pPr>
        <w:ind w:left="1940" w:hanging="636"/>
        <w:spacing w:after="0"/>
        <w:tabs>
          <w:tab w:leader="none" w:pos="1940" w:val="left"/>
        </w:tabs>
        <w:numPr>
          <w:ilvl w:val="1"/>
          <w:numId w:val="58"/>
        </w:numPr>
        <w:rPr>
          <w:rFonts w:ascii="Arial" w:cs="Arial" w:eastAsia="Arial" w:hAnsi="Arial"/>
          <w:sz w:val="22"/>
          <w:szCs w:val="22"/>
          <w:color w:val="010000"/>
        </w:rPr>
      </w:pPr>
      <w:r>
        <w:rPr>
          <w:rFonts w:ascii="Arial" w:cs="Arial" w:eastAsia="Arial" w:hAnsi="Arial"/>
          <w:sz w:val="22"/>
          <w:szCs w:val="22"/>
          <w:i w:val="1"/>
          <w:iCs w:val="1"/>
          <w:color w:val="auto"/>
        </w:rPr>
        <w:t xml:space="preserve">Number. </w:t>
      </w:r>
      <w:r>
        <w:rPr>
          <w:rFonts w:ascii="Arial" w:cs="Arial" w:eastAsia="Arial" w:hAnsi="Arial"/>
          <w:sz w:val="22"/>
          <w:szCs w:val="22"/>
          <w:color w:val="auto"/>
        </w:rPr>
        <w:t>The singular form shall include the plural, where appropriate.</w:t>
      </w:r>
    </w:p>
    <w:p>
      <w:pPr>
        <w:spacing w:after="0" w:line="348" w:lineRule="exact"/>
        <w:rPr>
          <w:rFonts w:ascii="Arial" w:cs="Arial" w:eastAsia="Arial" w:hAnsi="Arial"/>
          <w:sz w:val="22"/>
          <w:szCs w:val="22"/>
          <w:color w:val="010000"/>
        </w:rPr>
      </w:pPr>
    </w:p>
    <w:p>
      <w:pPr>
        <w:ind w:left="560" w:hanging="342"/>
        <w:spacing w:after="0"/>
        <w:tabs>
          <w:tab w:leader="none" w:pos="560" w:val="left"/>
        </w:tabs>
        <w:numPr>
          <w:ilvl w:val="0"/>
          <w:numId w:val="59"/>
        </w:numPr>
        <w:rPr>
          <w:rFonts w:ascii="Arial" w:cs="Arial" w:eastAsia="Arial" w:hAnsi="Arial"/>
          <w:sz w:val="22"/>
          <w:szCs w:val="22"/>
          <w:b w:val="1"/>
          <w:bCs w:val="1"/>
          <w:color w:val="010000"/>
        </w:rPr>
      </w:pPr>
      <w:r>
        <w:rPr>
          <w:rFonts w:ascii="Arial" w:cs="Arial" w:eastAsia="Arial" w:hAnsi="Arial"/>
          <w:sz w:val="22"/>
          <w:szCs w:val="22"/>
          <w:b w:val="1"/>
          <w:bCs w:val="1"/>
          <w:color w:val="auto"/>
        </w:rPr>
        <w:t>Severability</w:t>
      </w:r>
    </w:p>
    <w:p>
      <w:pPr>
        <w:sectPr>
          <w:pgSz w:w="11900" w:h="16838" w:orient="portrait"/>
          <w:cols w:equalWidth="0" w:num="1">
            <w:col w:w="11220"/>
          </w:cols>
          <w:pgMar w:left="320" w:top="144" w:right="359" w:bottom="1440" w:gutter="0" w:footer="0" w:header="0"/>
        </w:sectPr>
      </w:pPr>
    </w:p>
    <w:bookmarkStart w:id="97" w:name="page98"/>
    <w:bookmarkEnd w:id="97"/>
    <w:p>
      <w:pPr>
        <w:jc w:val="center"/>
        <w:ind w:right="-79"/>
        <w:spacing w:after="0"/>
        <w:rPr>
          <w:sz w:val="20"/>
          <w:szCs w:val="20"/>
          <w:color w:val="auto"/>
        </w:rPr>
      </w:pPr>
      <w:r>
        <w:rPr>
          <w:rFonts w:ascii="Arial" w:cs="Arial" w:eastAsia="Arial" w:hAnsi="Arial"/>
          <w:sz w:val="14"/>
          <w:szCs w:val="14"/>
          <w:color w:val="auto"/>
        </w:rPr>
        <w:t>Internal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firstLine="648"/>
        <w:spacing w:after="0" w:line="366" w:lineRule="auto"/>
        <w:rPr>
          <w:sz w:val="20"/>
          <w:szCs w:val="20"/>
          <w:color w:val="auto"/>
        </w:rPr>
      </w:pPr>
      <w:r>
        <w:rPr>
          <w:rFonts w:ascii="Arial" w:cs="Arial" w:eastAsia="Arial" w:hAnsi="Arial"/>
          <w:sz w:val="21"/>
          <w:szCs w:val="21"/>
          <w:color w:val="auto"/>
        </w:rPr>
        <w:t>If any provision of the Plan is held unlawful or otherwise invalid or unenforceable in whole or in part, such unlawfulness, invalidity, or unenforceability shall not affect any other provision of the Plan or part thereof, each of which shall remain in full force and effect. If the making of any payment or the provision of any other benefit required under the Plan is held unlawful or otherwise invalid or unenforceable, such unlawfulness, invalidity or unenforceability shall not prevent any other payment or benefit from being made or provided under the Plan, and if the making of any payment in full or the provision of any other benefit required under the Plan in full would be unlawful or otherwise invalid or unenforceable, then such unlawfulness, invalidity, or unenforceability shall not prevent such payment or benefit from being made or provided in part, to the extent that it would not be unlawful, invalid, or unenforceable, and the maximum payment or benefit that would not be unlawful, invalid, or unenforceable shall be made or provided under the Plan.</w:t>
      </w:r>
    </w:p>
    <w:p>
      <w:pPr>
        <w:spacing w:after="0" w:line="203" w:lineRule="exact"/>
        <w:rPr>
          <w:sz w:val="20"/>
          <w:szCs w:val="20"/>
          <w:color w:val="auto"/>
        </w:rPr>
      </w:pPr>
    </w:p>
    <w:p>
      <w:pPr>
        <w:ind w:left="560" w:hanging="282"/>
        <w:spacing w:after="0"/>
        <w:tabs>
          <w:tab w:leader="none" w:pos="560" w:val="left"/>
        </w:tabs>
        <w:numPr>
          <w:ilvl w:val="0"/>
          <w:numId w:val="60"/>
        </w:numPr>
        <w:rPr>
          <w:rFonts w:ascii="Arial" w:cs="Arial" w:eastAsia="Arial" w:hAnsi="Arial"/>
          <w:sz w:val="22"/>
          <w:szCs w:val="22"/>
          <w:b w:val="1"/>
          <w:bCs w:val="1"/>
          <w:color w:val="010000"/>
        </w:rPr>
      </w:pPr>
      <w:r>
        <w:rPr>
          <w:rFonts w:ascii="Arial" w:cs="Arial" w:eastAsia="Arial" w:hAnsi="Arial"/>
          <w:sz w:val="22"/>
          <w:szCs w:val="22"/>
          <w:b w:val="1"/>
          <w:bCs w:val="1"/>
          <w:color w:val="auto"/>
        </w:rPr>
        <w:t>Share Ownership Requirements</w:t>
      </w:r>
    </w:p>
    <w:p>
      <w:pPr>
        <w:spacing w:after="0" w:line="118" w:lineRule="exact"/>
        <w:rPr>
          <w:sz w:val="20"/>
          <w:szCs w:val="20"/>
          <w:color w:val="auto"/>
        </w:rPr>
      </w:pPr>
    </w:p>
    <w:p>
      <w:pPr>
        <w:ind w:right="100" w:firstLine="648"/>
        <w:spacing w:after="0" w:line="356" w:lineRule="auto"/>
        <w:rPr>
          <w:sz w:val="20"/>
          <w:szCs w:val="20"/>
          <w:color w:val="auto"/>
        </w:rPr>
      </w:pPr>
      <w:r>
        <w:rPr>
          <w:rFonts w:ascii="Arial" w:cs="Arial" w:eastAsia="Arial" w:hAnsi="Arial"/>
          <w:sz w:val="22"/>
          <w:szCs w:val="22"/>
          <w:color w:val="auto"/>
        </w:rPr>
        <w:t xml:space="preserve">Participants are expected to own shares of UTC Common Stock and have Deferred Stock Units equal in aggregate value to at least five times the then applicable base Annual Retainer amount set forth in </w:t>
      </w:r>
      <w:r>
        <w:rPr>
          <w:rFonts w:ascii="Arial" w:cs="Arial" w:eastAsia="Arial" w:hAnsi="Arial"/>
          <w:sz w:val="22"/>
          <w:szCs w:val="22"/>
          <w:u w:val="single" w:color="auto"/>
          <w:color w:val="auto"/>
        </w:rPr>
        <w:t>Section 3.01</w:t>
      </w:r>
      <w:r>
        <w:rPr>
          <w:rFonts w:ascii="Arial" w:cs="Arial" w:eastAsia="Arial" w:hAnsi="Arial"/>
          <w:sz w:val="22"/>
          <w:szCs w:val="22"/>
          <w:color w:val="auto"/>
        </w:rPr>
        <w:t xml:space="preserve"> no later than the fifth Annual Meeting following a Participant’s first election to the Board.</w:t>
      </w:r>
    </w:p>
    <w:p>
      <w:pPr>
        <w:spacing w:after="0" w:line="205" w:lineRule="exact"/>
        <w:rPr>
          <w:sz w:val="20"/>
          <w:szCs w:val="20"/>
          <w:color w:val="auto"/>
        </w:rPr>
      </w:pPr>
    </w:p>
    <w:p>
      <w:pPr>
        <w:ind w:left="560" w:hanging="342"/>
        <w:spacing w:after="0"/>
        <w:tabs>
          <w:tab w:leader="none" w:pos="560" w:val="left"/>
        </w:tabs>
        <w:numPr>
          <w:ilvl w:val="0"/>
          <w:numId w:val="61"/>
        </w:numPr>
        <w:rPr>
          <w:rFonts w:ascii="Arial" w:cs="Arial" w:eastAsia="Arial" w:hAnsi="Arial"/>
          <w:sz w:val="22"/>
          <w:szCs w:val="22"/>
          <w:b w:val="1"/>
          <w:bCs w:val="1"/>
          <w:color w:val="010000"/>
        </w:rPr>
      </w:pPr>
      <w:r>
        <w:rPr>
          <w:rFonts w:ascii="Arial" w:cs="Arial" w:eastAsia="Arial" w:hAnsi="Arial"/>
          <w:sz w:val="22"/>
          <w:szCs w:val="22"/>
          <w:b w:val="1"/>
          <w:bCs w:val="1"/>
          <w:color w:val="auto"/>
        </w:rPr>
        <w:t>Governing Law</w:t>
      </w:r>
    </w:p>
    <w:p>
      <w:pPr>
        <w:spacing w:after="0" w:line="118" w:lineRule="exact"/>
        <w:rPr>
          <w:sz w:val="20"/>
          <w:szCs w:val="20"/>
          <w:color w:val="auto"/>
        </w:rPr>
      </w:pPr>
    </w:p>
    <w:p>
      <w:pPr>
        <w:ind w:right="20" w:firstLine="648"/>
        <w:spacing w:after="0" w:line="366" w:lineRule="auto"/>
        <w:rPr>
          <w:sz w:val="20"/>
          <w:szCs w:val="20"/>
          <w:color w:val="auto"/>
        </w:rPr>
      </w:pPr>
      <w:r>
        <w:rPr>
          <w:rFonts w:ascii="Arial" w:cs="Arial" w:eastAsia="Arial" w:hAnsi="Arial"/>
          <w:sz w:val="22"/>
          <w:szCs w:val="22"/>
          <w:color w:val="auto"/>
        </w:rPr>
        <w:t>The Plan and all determinations made and actions taken under the Plan shall be governed by and construed in accordance with the laws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060"/>
        <w:spacing w:after="0"/>
        <w:rPr>
          <w:sz w:val="20"/>
          <w:szCs w:val="20"/>
          <w:color w:val="auto"/>
        </w:rPr>
      </w:pPr>
      <w:r>
        <w:rPr>
          <w:rFonts w:ascii="Arial" w:cs="Arial" w:eastAsia="Arial" w:hAnsi="Arial"/>
          <w:sz w:val="22"/>
          <w:szCs w:val="22"/>
          <w:b w:val="1"/>
          <w:bCs w:val="1"/>
          <w:color w:val="auto"/>
        </w:rPr>
        <w:t>UNITED TECHNOLOGIES CORPORATION</w:t>
      </w:r>
    </w:p>
    <w:p>
      <w:pPr>
        <w:sectPr>
          <w:pgSz w:w="11900" w:h="16838" w:orient="portrait"/>
          <w:cols w:equalWidth="0" w:num="1">
            <w:col w:w="11160"/>
          </w:cols>
          <w:pgMar w:left="320" w:top="144" w:right="419" w:bottom="1440" w:gutter="0" w:footer="0" w:header="0"/>
        </w:sectPr>
      </w:pPr>
    </w:p>
    <w:bookmarkStart w:id="98" w:name="page99"/>
    <w:bookmarkEnd w:id="98"/>
    <w:p>
      <w:pPr>
        <w:jc w:val="right"/>
        <w:ind w:right="3959"/>
        <w:spacing w:after="0"/>
        <w:rPr>
          <w:sz w:val="20"/>
          <w:szCs w:val="20"/>
          <w:color w:val="auto"/>
        </w:rPr>
      </w:pPr>
      <w:r>
        <w:rPr>
          <w:rFonts w:ascii="Arial" w:cs="Arial" w:eastAsia="Arial" w:hAnsi="Arial"/>
          <w:sz w:val="14"/>
          <w:szCs w:val="14"/>
          <w:color w:val="auto"/>
        </w:rPr>
        <w:t>Internal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-17780</wp:posOffset>
            </wp:positionV>
            <wp:extent cx="3429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Attest: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ectPr>
          <w:pgSz w:w="11900" w:h="16838" w:orient="portrait"/>
          <w:cols w:equalWidth="0" w:num="1">
            <w:col w:w="10139"/>
          </w:cols>
          <w:pgMar w:left="320" w:top="144" w:right="1440" w:bottom="1440" w:gutter="0" w:footer="0" w:header="0"/>
        </w:sectPr>
      </w:pPr>
    </w:p>
    <w:bookmarkStart w:id="99" w:name="page100"/>
    <w:bookmarkEnd w:id="99"/>
    <w:p>
      <w:pPr>
        <w:jc w:val="center"/>
        <w:ind w:right="-39"/>
        <w:spacing w:after="0"/>
        <w:rPr>
          <w:sz w:val="20"/>
          <w:szCs w:val="20"/>
          <w:color w:val="auto"/>
        </w:rPr>
      </w:pPr>
      <w:r>
        <w:rPr>
          <w:rFonts w:ascii="Arial" w:cs="Arial" w:eastAsia="Arial" w:hAnsi="Arial"/>
          <w:sz w:val="14"/>
          <w:szCs w:val="14"/>
          <w:color w:val="auto"/>
        </w:rPr>
        <w:t>Internal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APPENDIX A</w:t>
      </w:r>
    </w:p>
    <w:p>
      <w:pPr>
        <w:spacing w:after="0" w:line="280" w:lineRule="exact"/>
        <w:rPr>
          <w:sz w:val="20"/>
          <w:szCs w:val="20"/>
          <w:color w:val="auto"/>
        </w:rPr>
      </w:pPr>
    </w:p>
    <w:p>
      <w:pPr>
        <w:ind w:right="20" w:firstLine="648"/>
        <w:spacing w:after="0" w:line="415"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sets forth the United Technologies Corporation Board of Directors Deferred Stock Unit Plan as in effect on October 3, 2004 (“Prior Plan”), and as modified thereafter, from time to time, in a manner that does not constitute a “material modification” for purposes of Section 409A. Amounts that were earned or vested (within the meaning of Section 409A) prior to January 1, 2005, and any subsequent increases in these amounts that are permitted to be treated as grandfathered benefits under Section 409A, are generally subject to and shall continue to be governed by the terms of this Prior Plan.</w:t>
      </w:r>
    </w:p>
    <w:p>
      <w:pPr>
        <w:spacing w:after="0" w:line="176" w:lineRule="exact"/>
        <w:rPr>
          <w:sz w:val="20"/>
          <w:szCs w:val="20"/>
          <w:color w:val="auto"/>
        </w:rPr>
      </w:pPr>
    </w:p>
    <w:p>
      <w:pPr>
        <w:ind w:firstLine="648"/>
        <w:spacing w:after="0" w:line="400" w:lineRule="auto"/>
        <w:rPr>
          <w:sz w:val="20"/>
          <w:szCs w:val="20"/>
          <w:color w:val="auto"/>
        </w:rPr>
      </w:pPr>
      <w:r>
        <w:rPr>
          <w:rFonts w:ascii="Arial" w:cs="Arial" w:eastAsia="Arial" w:hAnsi="Arial"/>
          <w:sz w:val="19"/>
          <w:szCs w:val="19"/>
          <w:color w:val="auto"/>
        </w:rPr>
        <w:t>Effective October 13, 2010, but prior to the Spin-off (as defined below), Stock Units credited to Participants under this Prior Plan were convertible into shares of UTC Common Stock that were issued under the LTIP of United Technologies Corporation. Notwithstanding any provision of this Prior Plan to the contrary, all distributions with respect to Stock Units under this Prior Plan shall be distributed in shares of Common Stock. The settlement of Stock Units in shares of Common Stock in lieu of cash shall in no event: (a) increase the value of any Participant’s Account; (b) modify any Participant’s distribution election; or</w:t>
      </w:r>
    </w:p>
    <w:p>
      <w:pPr>
        <w:spacing w:after="0" w:line="2" w:lineRule="exact"/>
        <w:rPr>
          <w:sz w:val="20"/>
          <w:szCs w:val="20"/>
          <w:color w:val="auto"/>
        </w:rPr>
      </w:pPr>
    </w:p>
    <w:p>
      <w:pPr>
        <w:ind w:right="400" w:firstLine="8"/>
        <w:spacing w:after="0" w:line="366" w:lineRule="auto"/>
        <w:tabs>
          <w:tab w:leader="none" w:pos="294" w:val="left"/>
        </w:tabs>
        <w:numPr>
          <w:ilvl w:val="0"/>
          <w:numId w:val="62"/>
        </w:numPr>
        <w:rPr>
          <w:rFonts w:ascii="Arial" w:cs="Arial" w:eastAsia="Arial" w:hAnsi="Arial"/>
          <w:sz w:val="22"/>
          <w:szCs w:val="22"/>
          <w:color w:val="auto"/>
        </w:rPr>
      </w:pPr>
      <w:r>
        <w:rPr>
          <w:rFonts w:ascii="Arial" w:cs="Arial" w:eastAsia="Arial" w:hAnsi="Arial"/>
          <w:sz w:val="22"/>
          <w:szCs w:val="22"/>
          <w:color w:val="auto"/>
        </w:rPr>
        <w:t>alter the procedures in effect under this Prior Plan with respect to elections and distributions other than the substitution of shares for cash.</w:t>
      </w:r>
    </w:p>
    <w:p>
      <w:pPr>
        <w:spacing w:after="0" w:line="200" w:lineRule="exact"/>
        <w:rPr>
          <w:sz w:val="20"/>
          <w:szCs w:val="20"/>
          <w:color w:val="auto"/>
        </w:rPr>
      </w:pPr>
    </w:p>
    <w:p>
      <w:pPr>
        <w:ind w:firstLine="648"/>
        <w:spacing w:after="0" w:line="408" w:lineRule="auto"/>
        <w:rPr>
          <w:sz w:val="20"/>
          <w:szCs w:val="20"/>
          <w:color w:val="auto"/>
        </w:rPr>
      </w:pPr>
      <w:r>
        <w:rPr>
          <w:rFonts w:ascii="Arial" w:cs="Arial" w:eastAsia="Arial" w:hAnsi="Arial"/>
          <w:sz w:val="19"/>
          <w:szCs w:val="19"/>
          <w:color w:val="auto"/>
        </w:rPr>
        <w:t>Effective as of the Spin-off from United Technologies Corporation of Otis Worldwide Corporation (“Otis”) and Carrier Global Corporation (“Carrier”) into separate, independent public companies in 2020 (the “Spin-off”), Stock Units credited to Participants under this Prior Plan were converted, at Spin-off, into UTC, Carrier and Otis Stock Units. UTC Deferred Stock Units credited to Participants under this Prior Plan shall be convertible into shares of UTC Common Stock; however, Carrier and Otis Deferred Stock Units shall be distributed in cash. Payment of any installment in shares of UTC Common Stock with respect to UTC Deferred Stock Units and cash with respect to Carrier and Otis Deferred Stock Units shall be on a pro rata basis based on the outstanding balance of UTC, Carrier and Otis Deferred Stock Units. For these purposes, the definition of “Closing Price” shall include the price of the underlying referenced security for an Otis Stock Unit or Carrier Stock Unit, as applicable; the definition of “Stock Unit” shall include a hypothetical share of Otis and Carrier, as applicable; and Otis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UTCLGL-159530 v9 </w:t>
      </w:r>
      <w:r>
        <w:rPr>
          <w:rFonts w:ascii="Arial" w:cs="Arial" w:eastAsia="Arial" w:hAnsi="Arial"/>
          <w:sz w:val="21"/>
          <w:szCs w:val="21"/>
          <w:color w:val="auto"/>
        </w:rPr>
        <w:t>A - 1</w:t>
      </w:r>
    </w:p>
    <w:p>
      <w:pPr>
        <w:sectPr>
          <w:pgSz w:w="11900" w:h="16838" w:orient="portrait"/>
          <w:cols w:equalWidth="0" w:num="1">
            <w:col w:w="11200"/>
          </w:cols>
          <w:pgMar w:left="320" w:top="144" w:right="37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4"/>
          <w:szCs w:val="14"/>
          <w:color w:val="auto"/>
        </w:rPr>
        <w:t>Internal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640"/>
        <w:spacing w:after="0" w:line="366" w:lineRule="auto"/>
        <w:rPr>
          <w:sz w:val="20"/>
          <w:szCs w:val="20"/>
          <w:color w:val="auto"/>
        </w:rPr>
      </w:pPr>
      <w:r>
        <w:rPr>
          <w:rFonts w:ascii="Arial" w:cs="Arial" w:eastAsia="Arial" w:hAnsi="Arial"/>
          <w:sz w:val="22"/>
          <w:szCs w:val="22"/>
          <w:color w:val="auto"/>
        </w:rPr>
        <w:t>Units and Carrier Stock Units shall be increased or otherwise adjusted under Sections 402(a)(2) and (4) by reference to the underlying referenced security for an Otis Stock Unit or Carrier Stock Unit, as applicable.</w:t>
      </w:r>
    </w:p>
    <w:p>
      <w:pPr>
        <w:spacing w:after="0" w:line="200" w:lineRule="exact"/>
        <w:rPr>
          <w:sz w:val="20"/>
          <w:szCs w:val="20"/>
          <w:color w:val="auto"/>
        </w:rPr>
      </w:pPr>
    </w:p>
    <w:p>
      <w:pPr>
        <w:ind w:firstLine="648"/>
        <w:spacing w:after="0" w:line="352" w:lineRule="auto"/>
        <w:rPr>
          <w:sz w:val="20"/>
          <w:szCs w:val="20"/>
          <w:color w:val="auto"/>
        </w:rPr>
      </w:pPr>
      <w:r>
        <w:rPr>
          <w:rFonts w:ascii="Arial" w:cs="Arial" w:eastAsia="Arial" w:hAnsi="Arial"/>
          <w:sz w:val="22"/>
          <w:szCs w:val="22"/>
          <w:color w:val="auto"/>
        </w:rPr>
        <w:t>The settlement of Deferred Stock Units in Common Stock and cash, as applicable, and other adjustments described herein shall in no event: (a) increase the value of any Participant’s Account; (b) modify any Participant’s distribution election; or (c) alter the procedures in effect under this Prior Plan with respect to elections and distributions other than the substitution of cash for certain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UTCLGL-159530 v9 </w:t>
      </w:r>
      <w:r>
        <w:rPr>
          <w:rFonts w:ascii="Arial" w:cs="Arial" w:eastAsia="Arial" w:hAnsi="Arial"/>
          <w:sz w:val="21"/>
          <w:szCs w:val="21"/>
          <w:color w:val="auto"/>
        </w:rPr>
        <w:t>A - 2</w:t>
      </w:r>
    </w:p>
    <w:p>
      <w:pPr>
        <w:sectPr>
          <w:pgSz w:w="11900" w:h="16838" w:orient="portrait"/>
          <w:cols w:equalWidth="0" w:num="1">
            <w:col w:w="11240"/>
          </w:cols>
          <w:pgMar w:left="320" w:top="144"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4"/>
          <w:szCs w:val="14"/>
          <w:color w:val="auto"/>
        </w:rPr>
        <w:t>Internal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UNITED TECHNOLOGIES CORPORATION</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BOARD OF DIRECTORS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DEFERRED STOCK UNIT PLAN</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Effective January 1, 1996</w:t>
      </w:r>
    </w:p>
    <w:p>
      <w:pPr>
        <w:sectPr>
          <w:pgSz w:w="11900" w:h="16838" w:orient="portrait"/>
          <w:cols w:equalWidth="0" w:num="1">
            <w:col w:w="9019"/>
          </w:cols>
          <w:pgMar w:left="1440" w:top="144" w:right="1440" w:bottom="1440" w:gutter="0" w:footer="0" w:header="0"/>
        </w:sectPr>
      </w:pPr>
    </w:p>
    <w:bookmarkStart w:id="102" w:name="page103"/>
    <w:bookmarkEnd w:id="102"/>
    <w:p>
      <w:pPr>
        <w:ind w:left="5060"/>
        <w:spacing w:after="0"/>
        <w:rPr>
          <w:sz w:val="20"/>
          <w:szCs w:val="20"/>
          <w:color w:val="auto"/>
        </w:rPr>
      </w:pPr>
      <w:r>
        <w:rPr>
          <w:rFonts w:ascii="Arial" w:cs="Arial" w:eastAsia="Arial" w:hAnsi="Arial"/>
          <w:sz w:val="14"/>
          <w:szCs w:val="14"/>
          <w:color w:val="auto"/>
        </w:rPr>
        <w:t>Internal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900"/>
        <w:spacing w:after="0" w:line="474" w:lineRule="auto"/>
        <w:rPr>
          <w:sz w:val="20"/>
          <w:szCs w:val="20"/>
          <w:color w:val="auto"/>
        </w:rPr>
      </w:pPr>
      <w:r>
        <w:rPr>
          <w:rFonts w:ascii="Arial" w:cs="Arial" w:eastAsia="Arial" w:hAnsi="Arial"/>
          <w:sz w:val="22"/>
          <w:szCs w:val="22"/>
          <w:b w:val="1"/>
          <w:bCs w:val="1"/>
          <w:color w:val="auto"/>
        </w:rPr>
        <w:t>UNITED TECHNOLOGIES CORPORATION BOARD OF DIRECTORSDEFERRED STOCK UNIT PLAN Table of Contents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ARTICLE I INTRODUCTION</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1.01 Purpose of Plan</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1.02 Effective Date of Plan</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ARTICLE II DEFINITIONS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ARTICLE III CREDITS</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3.01 Transition Credits</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3.02 Automatic Credits</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3.03 Elective Credits</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ARTICLE IV ACCOUNTS AND INVESTMENTS</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4.01 Accounts 4.02 Stock Units</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4.03 Hypothetical Nature of Accounts and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ARTICLE V PAYMENTS</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5.01 Entitlement to Payment</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5.02 Payment Commencement Date</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5.03 Form and Amount of Payment</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ARTICLE VI ADMINISTRATION</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6.01 In General</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6.02 Plan Amendment and Termination</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6.03 Reports to Participants</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6.04 Delegation of Authority</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ARTICLE VII MISCELLANEOUS</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7.01 Rights Not Assignable</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7.02 Certain Rights Reserved</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7.03 Withholding Taxes 7.04 Incompetence</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7.05 Inability to Locate Participants and Beneficiaries</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7.06 Successors</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7.07 Usage</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7.08 Severability</w:t>
      </w:r>
    </w:p>
    <w:p>
      <w:pPr>
        <w:spacing w:after="0" w:line="40"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7.09 Governing Law</w:t>
      </w:r>
    </w:p>
    <w:p>
      <w:pPr>
        <w:sectPr>
          <w:pgSz w:w="11900" w:h="16838" w:orient="portrait"/>
          <w:cols w:equalWidth="0" w:num="1">
            <w:col w:w="10680"/>
          </w:cols>
          <w:pgMar w:left="320" w:top="144" w:right="899" w:bottom="1440" w:gutter="0" w:footer="0" w:header="0"/>
        </w:sectPr>
      </w:pPr>
    </w:p>
    <w:bookmarkStart w:id="103" w:name="page104"/>
    <w:bookmarkEnd w:id="103"/>
    <w:p>
      <w:pPr>
        <w:spacing w:after="0" w:line="225" w:lineRule="exact"/>
        <w:rPr>
          <w:sz w:val="20"/>
          <w:szCs w:val="20"/>
          <w:color w:val="auto"/>
        </w:rPr>
      </w:pPr>
    </w:p>
    <w:p>
      <w:pPr>
        <w:ind w:left="4800"/>
        <w:spacing w:after="0"/>
        <w:rPr>
          <w:sz w:val="20"/>
          <w:szCs w:val="20"/>
          <w:color w:val="auto"/>
        </w:rPr>
      </w:pPr>
      <w:r>
        <w:rPr>
          <w:rFonts w:ascii="Arial" w:cs="Arial" w:eastAsia="Arial" w:hAnsi="Arial"/>
          <w:sz w:val="22"/>
          <w:szCs w:val="22"/>
          <w:b w:val="1"/>
          <w:bCs w:val="1"/>
          <w:color w:val="010000"/>
        </w:rPr>
        <w:t>Article I.</w:t>
      </w:r>
    </w:p>
    <w:p>
      <w:pPr>
        <w:spacing w:after="0" w:line="220"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INTRODUCTION</w:t>
      </w:r>
    </w:p>
    <w:p>
      <w:pPr>
        <w:spacing w:after="0" w:line="200" w:lineRule="exact"/>
        <w:rPr>
          <w:sz w:val="20"/>
          <w:szCs w:val="20"/>
          <w:color w:val="auto"/>
        </w:rPr>
      </w:pPr>
    </w:p>
    <w:p>
      <w:pPr>
        <w:spacing w:after="0" w:line="317" w:lineRule="exact"/>
        <w:rPr>
          <w:sz w:val="20"/>
          <w:szCs w:val="20"/>
          <w:color w:val="auto"/>
        </w:rPr>
      </w:pPr>
    </w:p>
    <w:p>
      <w:pPr>
        <w:ind w:left="560" w:hanging="234"/>
        <w:spacing w:after="0"/>
        <w:tabs>
          <w:tab w:leader="none" w:pos="560" w:val="left"/>
        </w:tabs>
        <w:numPr>
          <w:ilvl w:val="0"/>
          <w:numId w:val="63"/>
        </w:numPr>
        <w:rPr>
          <w:rFonts w:ascii="Arial" w:cs="Arial" w:eastAsia="Arial" w:hAnsi="Arial"/>
          <w:sz w:val="22"/>
          <w:szCs w:val="22"/>
          <w:b w:val="1"/>
          <w:bCs w:val="1"/>
          <w:color w:val="010000"/>
        </w:rPr>
      </w:pPr>
      <w:r>
        <w:rPr>
          <w:rFonts w:ascii="Arial" w:cs="Arial" w:eastAsia="Arial" w:hAnsi="Arial"/>
          <w:sz w:val="22"/>
          <w:szCs w:val="22"/>
          <w:b w:val="1"/>
          <w:bCs w:val="1"/>
          <w:color w:val="auto"/>
        </w:rPr>
        <w:t>Purpose of Plan</w:t>
      </w:r>
    </w:p>
    <w:p>
      <w:pPr>
        <w:spacing w:after="0" w:line="118" w:lineRule="exact"/>
        <w:rPr>
          <w:sz w:val="20"/>
          <w:szCs w:val="20"/>
          <w:color w:val="auto"/>
        </w:rPr>
      </w:pPr>
    </w:p>
    <w:p>
      <w:pPr>
        <w:ind w:right="60" w:firstLine="648"/>
        <w:spacing w:after="0" w:line="415" w:lineRule="auto"/>
        <w:rPr>
          <w:sz w:val="20"/>
          <w:szCs w:val="20"/>
          <w:color w:val="auto"/>
        </w:rPr>
      </w:pPr>
      <w:r>
        <w:rPr>
          <w:rFonts w:ascii="Arial" w:cs="Arial" w:eastAsia="Arial" w:hAnsi="Arial"/>
          <w:sz w:val="19"/>
          <w:szCs w:val="19"/>
          <w:color w:val="auto"/>
        </w:rPr>
        <w:t>The purpose of the Plan is to enhance the Company’s ability to attract and retain non-employee members of the Board whose training, experience and ability will promote the interests of the Company and to directly align the interests of such non-employee Directors with the interests of the Company’s shareowners by providing compensation based on the value of UTC Common Stock. The Plan is designed to permit such non-employee directors to defer the receipt of all or a portion of the cash compensation otherwise payable to them for services to the Company as members of the Board.</w:t>
      </w:r>
    </w:p>
    <w:p>
      <w:pPr>
        <w:spacing w:after="0" w:line="170" w:lineRule="exact"/>
        <w:rPr>
          <w:sz w:val="20"/>
          <w:szCs w:val="20"/>
          <w:color w:val="auto"/>
        </w:rPr>
      </w:pPr>
    </w:p>
    <w:p>
      <w:pPr>
        <w:ind w:left="560" w:hanging="294"/>
        <w:spacing w:after="0"/>
        <w:tabs>
          <w:tab w:leader="none" w:pos="560" w:val="left"/>
        </w:tabs>
        <w:numPr>
          <w:ilvl w:val="0"/>
          <w:numId w:val="64"/>
        </w:numPr>
        <w:rPr>
          <w:rFonts w:ascii="Arial" w:cs="Arial" w:eastAsia="Arial" w:hAnsi="Arial"/>
          <w:sz w:val="22"/>
          <w:szCs w:val="22"/>
          <w:b w:val="1"/>
          <w:bCs w:val="1"/>
          <w:color w:val="010000"/>
        </w:rPr>
      </w:pPr>
      <w:r>
        <w:rPr>
          <w:rFonts w:ascii="Arial" w:cs="Arial" w:eastAsia="Arial" w:hAnsi="Arial"/>
          <w:sz w:val="22"/>
          <w:szCs w:val="22"/>
          <w:b w:val="1"/>
          <w:bCs w:val="1"/>
          <w:color w:val="auto"/>
        </w:rPr>
        <w:t>Effective Date of Plan</w:t>
      </w:r>
    </w:p>
    <w:p>
      <w:pPr>
        <w:spacing w:after="0" w:line="118" w:lineRule="exact"/>
        <w:rPr>
          <w:sz w:val="20"/>
          <w:szCs w:val="20"/>
          <w:color w:val="auto"/>
        </w:rPr>
      </w:pPr>
    </w:p>
    <w:p>
      <w:pPr>
        <w:ind w:firstLine="648"/>
        <w:spacing w:after="0" w:line="366" w:lineRule="auto"/>
        <w:rPr>
          <w:sz w:val="20"/>
          <w:szCs w:val="20"/>
          <w:color w:val="auto"/>
        </w:rPr>
      </w:pPr>
      <w:r>
        <w:rPr>
          <w:rFonts w:ascii="Arial" w:cs="Arial" w:eastAsia="Arial" w:hAnsi="Arial"/>
          <w:sz w:val="22"/>
          <w:szCs w:val="22"/>
          <w:color w:val="auto"/>
        </w:rPr>
        <w:t xml:space="preserve">Except as otherwise provided by </w:t>
      </w:r>
      <w:r>
        <w:rPr>
          <w:rFonts w:ascii="Arial" w:cs="Arial" w:eastAsia="Arial" w:hAnsi="Arial"/>
          <w:sz w:val="22"/>
          <w:szCs w:val="22"/>
          <w:u w:val="single" w:color="auto"/>
          <w:color w:val="auto"/>
        </w:rPr>
        <w:t>Section 3.01</w:t>
      </w:r>
      <w:r>
        <w:rPr>
          <w:rFonts w:ascii="Arial" w:cs="Arial" w:eastAsia="Arial" w:hAnsi="Arial"/>
          <w:sz w:val="22"/>
          <w:szCs w:val="22"/>
          <w:color w:val="auto"/>
        </w:rPr>
        <w:t>, the Plan shall apply only to a Participant’s annual Director’s retainer Fees with respect to service on and after January 1, 1996.</w:t>
      </w:r>
    </w:p>
    <w:p>
      <w:pPr>
        <w:spacing w:after="0" w:line="194"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ARTICLE II</w:t>
      </w:r>
    </w:p>
    <w:p>
      <w:pPr>
        <w:spacing w:after="0" w:line="58"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DEFINITIONS</w:t>
      </w:r>
    </w:p>
    <w:p>
      <w:pPr>
        <w:spacing w:after="0" w:line="280" w:lineRule="exact"/>
        <w:rPr>
          <w:sz w:val="20"/>
          <w:szCs w:val="20"/>
          <w:color w:val="auto"/>
        </w:rPr>
      </w:pPr>
    </w:p>
    <w:p>
      <w:pPr>
        <w:ind w:firstLine="648"/>
        <w:spacing w:after="0" w:line="366" w:lineRule="auto"/>
        <w:rPr>
          <w:sz w:val="20"/>
          <w:szCs w:val="20"/>
          <w:color w:val="auto"/>
        </w:rPr>
      </w:pPr>
      <w:r>
        <w:rPr>
          <w:rFonts w:ascii="Arial" w:cs="Arial" w:eastAsia="Arial" w:hAnsi="Arial"/>
          <w:sz w:val="22"/>
          <w:szCs w:val="22"/>
          <w:color w:val="auto"/>
        </w:rPr>
        <w:t>Unless the context clearly indicates otherwise, the following terms, when used in capitalized form in the Plan, shall have the meanings set forth below:</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Account </w:t>
      </w:r>
      <w:r>
        <w:rPr>
          <w:rFonts w:ascii="Arial" w:cs="Arial" w:eastAsia="Arial" w:hAnsi="Arial"/>
          <w:sz w:val="22"/>
          <w:szCs w:val="22"/>
          <w:color w:val="auto"/>
        </w:rPr>
        <w:t>shall mean a bookkeeping account established for a Participant under</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Section 4.01</w:t>
      </w:r>
      <w:r>
        <w:rPr>
          <w:rFonts w:ascii="Arial" w:cs="Arial" w:eastAsia="Arial" w:hAnsi="Arial"/>
          <w:sz w:val="22"/>
          <w:szCs w:val="22"/>
          <w:color w:val="auto"/>
        </w:rPr>
        <w:t>.</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Article </w:t>
      </w:r>
      <w:r>
        <w:rPr>
          <w:rFonts w:ascii="Arial" w:cs="Arial" w:eastAsia="Arial" w:hAnsi="Arial"/>
          <w:sz w:val="22"/>
          <w:szCs w:val="22"/>
          <w:color w:val="auto"/>
        </w:rPr>
        <w:t>shall mean an article of the Plan.</w:t>
      </w:r>
    </w:p>
    <w:p>
      <w:pPr>
        <w:spacing w:after="0" w:line="355" w:lineRule="exact"/>
        <w:rPr>
          <w:sz w:val="20"/>
          <w:szCs w:val="20"/>
          <w:color w:val="auto"/>
        </w:rPr>
      </w:pPr>
    </w:p>
    <w:p>
      <w:pPr>
        <w:ind w:right="320" w:firstLine="648"/>
        <w:spacing w:after="0" w:line="356" w:lineRule="auto"/>
        <w:rPr>
          <w:sz w:val="20"/>
          <w:szCs w:val="20"/>
          <w:color w:val="auto"/>
        </w:rPr>
      </w:pPr>
      <w:r>
        <w:rPr>
          <w:rFonts w:ascii="Arial" w:cs="Arial" w:eastAsia="Arial" w:hAnsi="Arial"/>
          <w:sz w:val="22"/>
          <w:szCs w:val="22"/>
          <w:b w:val="1"/>
          <w:bCs w:val="1"/>
          <w:i w:val="1"/>
          <w:iCs w:val="1"/>
          <w:color w:val="auto"/>
        </w:rPr>
        <w:t xml:space="preserve">Beneficiary </w:t>
      </w:r>
      <w:r>
        <w:rPr>
          <w:rFonts w:ascii="Arial" w:cs="Arial" w:eastAsia="Arial" w:hAnsi="Arial"/>
          <w:sz w:val="22"/>
          <w:szCs w:val="22"/>
          <w:color w:val="auto"/>
        </w:rPr>
        <w:t>shall mean a Participant’s beneficiary, designated in writing and in a form and manner satisfactory to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Committee, or if a Participant fails to designate a beneficiary, or if the Participant’s designated Beneficiary predeceases the Participant, the Participant’s estate.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80"/>
        <w:spacing w:after="0"/>
        <w:rPr>
          <w:sz w:val="20"/>
          <w:szCs w:val="20"/>
          <w:color w:val="auto"/>
        </w:rPr>
      </w:pPr>
      <w:r>
        <w:rPr>
          <w:rFonts w:ascii="Arial" w:cs="Arial" w:eastAsia="Arial" w:hAnsi="Arial"/>
          <w:sz w:val="22"/>
          <w:szCs w:val="22"/>
          <w:color w:val="auto"/>
        </w:rPr>
        <w:t>A - 1</w:t>
      </w:r>
    </w:p>
    <w:p>
      <w:pPr>
        <w:sectPr>
          <w:pgSz w:w="11900" w:h="16838" w:orient="portrait"/>
          <w:cols w:equalWidth="0" w:num="1">
            <w:col w:w="11080"/>
          </w:cols>
          <w:pgMar w:left="320" w:top="1440" w:right="49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4"/>
          <w:szCs w:val="14"/>
          <w:color w:val="auto"/>
        </w:rPr>
        <w:t>Internal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Board </w:t>
      </w:r>
      <w:r>
        <w:rPr>
          <w:rFonts w:ascii="Arial" w:cs="Arial" w:eastAsia="Arial" w:hAnsi="Arial"/>
          <w:sz w:val="22"/>
          <w:szCs w:val="22"/>
          <w:color w:val="auto"/>
        </w:rPr>
        <w:t>shall mean the Board of Directors of the Company.</w:t>
      </w:r>
    </w:p>
    <w:p>
      <w:pPr>
        <w:spacing w:after="0" w:line="355" w:lineRule="exact"/>
        <w:rPr>
          <w:sz w:val="20"/>
          <w:szCs w:val="20"/>
          <w:color w:val="auto"/>
        </w:rPr>
      </w:pPr>
    </w:p>
    <w:p>
      <w:pPr>
        <w:jc w:val="both"/>
        <w:ind w:right="40" w:firstLine="648"/>
        <w:spacing w:after="0" w:line="356" w:lineRule="auto"/>
        <w:rPr>
          <w:sz w:val="20"/>
          <w:szCs w:val="20"/>
          <w:color w:val="auto"/>
        </w:rPr>
      </w:pPr>
      <w:r>
        <w:rPr>
          <w:rFonts w:ascii="Arial" w:cs="Arial" w:eastAsia="Arial" w:hAnsi="Arial"/>
          <w:sz w:val="22"/>
          <w:szCs w:val="22"/>
          <w:b w:val="1"/>
          <w:bCs w:val="1"/>
          <w:i w:val="1"/>
          <w:iCs w:val="1"/>
          <w:color w:val="auto"/>
        </w:rPr>
        <w:t xml:space="preserve">Closing Price </w:t>
      </w:r>
      <w:r>
        <w:rPr>
          <w:rFonts w:ascii="Arial" w:cs="Arial" w:eastAsia="Arial" w:hAnsi="Arial"/>
          <w:sz w:val="22"/>
          <w:szCs w:val="22"/>
          <w:color w:val="auto"/>
        </w:rPr>
        <w:t>shall mean, with respect to any date specified by the Plan, the closing price of UTC Common Stock on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composite tape of New York Stock Exchange issues (or if there was no reported sale of UTC Common Stock on such date, on the next preceding day on which there was such a reported sale).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Committee </w:t>
      </w:r>
      <w:r>
        <w:rPr>
          <w:rFonts w:ascii="Arial" w:cs="Arial" w:eastAsia="Arial" w:hAnsi="Arial"/>
          <w:sz w:val="22"/>
          <w:szCs w:val="22"/>
          <w:color w:val="auto"/>
        </w:rPr>
        <w:t>shall mean the Nominating Committee of the Board.</w:t>
      </w:r>
    </w:p>
    <w:p>
      <w:pPr>
        <w:spacing w:after="0" w:line="355"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Company </w:t>
      </w:r>
      <w:r>
        <w:rPr>
          <w:rFonts w:ascii="Arial" w:cs="Arial" w:eastAsia="Arial" w:hAnsi="Arial"/>
          <w:sz w:val="22"/>
          <w:szCs w:val="22"/>
          <w:color w:val="auto"/>
        </w:rPr>
        <w:t>shall mean United Technologies Corporation.</w:t>
      </w:r>
    </w:p>
    <w:p>
      <w:pPr>
        <w:spacing w:after="0" w:line="355" w:lineRule="exact"/>
        <w:rPr>
          <w:sz w:val="20"/>
          <w:szCs w:val="20"/>
          <w:color w:val="auto"/>
        </w:rPr>
      </w:pPr>
    </w:p>
    <w:p>
      <w:pPr>
        <w:ind w:firstLine="648"/>
        <w:spacing w:after="0" w:line="366" w:lineRule="auto"/>
        <w:rPr>
          <w:sz w:val="20"/>
          <w:szCs w:val="20"/>
          <w:color w:val="auto"/>
        </w:rPr>
      </w:pPr>
      <w:r>
        <w:rPr>
          <w:rFonts w:ascii="Arial" w:cs="Arial" w:eastAsia="Arial" w:hAnsi="Arial"/>
          <w:sz w:val="22"/>
          <w:szCs w:val="22"/>
          <w:b w:val="1"/>
          <w:bCs w:val="1"/>
          <w:i w:val="1"/>
          <w:iCs w:val="1"/>
          <w:color w:val="auto"/>
        </w:rPr>
        <w:t xml:space="preserve">Director’s </w:t>
      </w:r>
      <w:r>
        <w:rPr>
          <w:rFonts w:ascii="Arial" w:cs="Arial" w:eastAsia="Arial" w:hAnsi="Arial"/>
          <w:sz w:val="22"/>
          <w:szCs w:val="22"/>
          <w:color w:val="auto"/>
        </w:rPr>
        <w:t>Fees shall mean the annual retainer fee payable to a Participant for services to the Company as a member of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Board. Director’s Fees do not include special meeting fees.</w:t>
      </w:r>
    </w:p>
    <w:p>
      <w:pPr>
        <w:spacing w:after="0" w:line="200" w:lineRule="exact"/>
        <w:rPr>
          <w:sz w:val="20"/>
          <w:szCs w:val="20"/>
          <w:color w:val="auto"/>
        </w:rPr>
      </w:pPr>
    </w:p>
    <w:p>
      <w:pPr>
        <w:ind w:right="480" w:firstLine="648"/>
        <w:spacing w:after="0" w:line="461" w:lineRule="auto"/>
        <w:rPr>
          <w:sz w:val="20"/>
          <w:szCs w:val="20"/>
          <w:color w:val="auto"/>
        </w:rPr>
      </w:pPr>
      <w:r>
        <w:rPr>
          <w:rFonts w:ascii="Arial" w:cs="Arial" w:eastAsia="Arial" w:hAnsi="Arial"/>
          <w:sz w:val="19"/>
          <w:szCs w:val="19"/>
          <w:b w:val="1"/>
          <w:bCs w:val="1"/>
          <w:i w:val="1"/>
          <w:iCs w:val="1"/>
          <w:color w:val="auto"/>
        </w:rPr>
        <w:t xml:space="preserve">Participant </w:t>
      </w:r>
      <w:r>
        <w:rPr>
          <w:rFonts w:ascii="Arial" w:cs="Arial" w:eastAsia="Arial" w:hAnsi="Arial"/>
          <w:sz w:val="19"/>
          <w:szCs w:val="19"/>
          <w:color w:val="auto"/>
        </w:rPr>
        <w:t>shall mean each member of the Board (other than a member of the Board who is also an employee of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Company or a subsidiary thereof) who is or becomes a member of the Board on or after January 1, 1996.</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Payment Anniversary Date </w:t>
      </w:r>
      <w:r>
        <w:rPr>
          <w:rFonts w:ascii="Arial" w:cs="Arial" w:eastAsia="Arial" w:hAnsi="Arial"/>
          <w:sz w:val="22"/>
          <w:szCs w:val="22"/>
          <w:color w:val="auto"/>
        </w:rPr>
        <w:t>shall mean an anniversary of the Payment Commencement Date.</w:t>
      </w:r>
    </w:p>
    <w:p>
      <w:pPr>
        <w:spacing w:after="0" w:line="112" w:lineRule="exact"/>
        <w:rPr>
          <w:sz w:val="20"/>
          <w:szCs w:val="20"/>
          <w:color w:val="auto"/>
        </w:rPr>
      </w:pPr>
    </w:p>
    <w:p>
      <w:pPr>
        <w:ind w:right="480" w:firstLine="648"/>
        <w:spacing w:after="0" w:line="366" w:lineRule="auto"/>
        <w:rPr>
          <w:sz w:val="20"/>
          <w:szCs w:val="20"/>
          <w:color w:val="auto"/>
        </w:rPr>
      </w:pPr>
      <w:r>
        <w:rPr>
          <w:rFonts w:ascii="Arial" w:cs="Arial" w:eastAsia="Arial" w:hAnsi="Arial"/>
          <w:sz w:val="22"/>
          <w:szCs w:val="22"/>
          <w:b w:val="1"/>
          <w:bCs w:val="1"/>
          <w:i w:val="1"/>
          <w:iCs w:val="1"/>
          <w:color w:val="auto"/>
        </w:rPr>
        <w:t xml:space="preserve">Payment Commencement Date </w:t>
      </w:r>
      <w:r>
        <w:rPr>
          <w:rFonts w:ascii="Arial" w:cs="Arial" w:eastAsia="Arial" w:hAnsi="Arial"/>
          <w:sz w:val="22"/>
          <w:szCs w:val="22"/>
          <w:color w:val="auto"/>
        </w:rPr>
        <w:t>shall mean the first business day of the first month following the month in which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Participant terminates service as a member of the Board.</w:t>
      </w:r>
    </w:p>
    <w:p>
      <w:pPr>
        <w:spacing w:after="0" w:line="200" w:lineRule="exact"/>
        <w:rPr>
          <w:sz w:val="20"/>
          <w:szCs w:val="20"/>
          <w:color w:val="auto"/>
        </w:rPr>
      </w:pPr>
    </w:p>
    <w:p>
      <w:pPr>
        <w:ind w:right="300" w:firstLine="648"/>
        <w:spacing w:after="0" w:line="366" w:lineRule="auto"/>
        <w:rPr>
          <w:sz w:val="20"/>
          <w:szCs w:val="20"/>
          <w:color w:val="auto"/>
        </w:rPr>
      </w:pPr>
      <w:r>
        <w:rPr>
          <w:rFonts w:ascii="Arial" w:cs="Arial" w:eastAsia="Arial" w:hAnsi="Arial"/>
          <w:sz w:val="22"/>
          <w:szCs w:val="22"/>
          <w:b w:val="1"/>
          <w:bCs w:val="1"/>
          <w:i w:val="1"/>
          <w:iCs w:val="1"/>
          <w:color w:val="auto"/>
        </w:rPr>
        <w:t xml:space="preserve">Plan </w:t>
      </w:r>
      <w:r>
        <w:rPr>
          <w:rFonts w:ascii="Arial" w:cs="Arial" w:eastAsia="Arial" w:hAnsi="Arial"/>
          <w:sz w:val="22"/>
          <w:szCs w:val="22"/>
          <w:color w:val="auto"/>
        </w:rPr>
        <w:t>shall mean this United Technologies Corporation Board of Directors Deferred Stock Unit Plan, as set forth herein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and as amended from time to time.</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Plan Year </w:t>
      </w:r>
      <w:r>
        <w:rPr>
          <w:rFonts w:ascii="Arial" w:cs="Arial" w:eastAsia="Arial" w:hAnsi="Arial"/>
          <w:sz w:val="22"/>
          <w:szCs w:val="22"/>
          <w:color w:val="auto"/>
        </w:rPr>
        <w:t>shall mean the calendar year.</w:t>
      </w:r>
    </w:p>
    <w:p>
      <w:pPr>
        <w:spacing w:after="0" w:line="355"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Section </w:t>
      </w:r>
      <w:r>
        <w:rPr>
          <w:rFonts w:ascii="Arial" w:cs="Arial" w:eastAsia="Arial" w:hAnsi="Arial"/>
          <w:sz w:val="22"/>
          <w:szCs w:val="22"/>
          <w:color w:val="auto"/>
        </w:rPr>
        <w:t>shall mean a Section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00"/>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240"/>
          </w:cols>
          <w:pgMar w:left="320" w:top="144" w:right="339" w:bottom="1440" w:gutter="0" w:footer="0" w:header="0"/>
        </w:sectPr>
      </w:pPr>
    </w:p>
    <w:bookmarkStart w:id="105" w:name="page106"/>
    <w:bookmarkEnd w:id="105"/>
    <w:p>
      <w:pPr>
        <w:jc w:val="center"/>
        <w:ind w:right="-59"/>
        <w:spacing w:after="0"/>
        <w:rPr>
          <w:sz w:val="20"/>
          <w:szCs w:val="20"/>
          <w:color w:val="auto"/>
        </w:rPr>
      </w:pPr>
      <w:r>
        <w:rPr>
          <w:rFonts w:ascii="Arial" w:cs="Arial" w:eastAsia="Arial" w:hAnsi="Arial"/>
          <w:sz w:val="14"/>
          <w:szCs w:val="14"/>
          <w:color w:val="auto"/>
        </w:rPr>
        <w:t>Internal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Stock Unit </w:t>
      </w:r>
      <w:r>
        <w:rPr>
          <w:rFonts w:ascii="Arial" w:cs="Arial" w:eastAsia="Arial" w:hAnsi="Arial"/>
          <w:sz w:val="22"/>
          <w:szCs w:val="22"/>
          <w:color w:val="auto"/>
        </w:rPr>
        <w:t>shall mean a hypothetical share of UTC Common Stock as described in</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Section 4.02</w:t>
      </w:r>
      <w:r>
        <w:rPr>
          <w:rFonts w:ascii="Arial" w:cs="Arial" w:eastAsia="Arial" w:hAnsi="Arial"/>
          <w:sz w:val="22"/>
          <w:szCs w:val="22"/>
          <w:color w:val="auto"/>
        </w:rPr>
        <w:t>.</w:t>
      </w:r>
    </w:p>
    <w:p>
      <w:pPr>
        <w:spacing w:after="0" w:line="355"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UTC Common Stock </w:t>
      </w:r>
      <w:r>
        <w:rPr>
          <w:rFonts w:ascii="Arial" w:cs="Arial" w:eastAsia="Arial" w:hAnsi="Arial"/>
          <w:sz w:val="22"/>
          <w:szCs w:val="22"/>
          <w:color w:val="auto"/>
        </w:rPr>
        <w:t>shall mean the common stock of the Company.</w:t>
      </w:r>
    </w:p>
    <w:p>
      <w:pPr>
        <w:spacing w:after="0" w:line="295"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010000"/>
        </w:rPr>
        <w:t>Article I.</w:t>
      </w:r>
      <w:r>
        <w:rPr>
          <w:rFonts w:ascii="Arial" w:cs="Arial" w:eastAsia="Arial" w:hAnsi="Arial"/>
          <w:sz w:val="22"/>
          <w:szCs w:val="22"/>
          <w:b w:val="1"/>
          <w:bCs w:val="1"/>
          <w:color w:val="000000"/>
        </w:rPr>
        <w:t>CREDITS</w:t>
      </w:r>
    </w:p>
    <w:p>
      <w:pPr>
        <w:spacing w:after="0" w:line="274" w:lineRule="exact"/>
        <w:rPr>
          <w:sz w:val="20"/>
          <w:szCs w:val="20"/>
          <w:color w:val="auto"/>
        </w:rPr>
      </w:pPr>
    </w:p>
    <w:p>
      <w:pPr>
        <w:ind w:left="1300" w:hanging="644"/>
        <w:spacing w:after="0"/>
        <w:tabs>
          <w:tab w:leader="none" w:pos="1300" w:val="left"/>
        </w:tabs>
        <w:numPr>
          <w:ilvl w:val="0"/>
          <w:numId w:val="65"/>
        </w:numPr>
        <w:rPr>
          <w:rFonts w:ascii="Arial" w:cs="Arial" w:eastAsia="Arial" w:hAnsi="Arial"/>
          <w:sz w:val="22"/>
          <w:szCs w:val="22"/>
          <w:b w:val="1"/>
          <w:bCs w:val="1"/>
          <w:color w:val="010000"/>
        </w:rPr>
      </w:pPr>
      <w:r>
        <w:rPr>
          <w:rFonts w:ascii="Arial" w:cs="Arial" w:eastAsia="Arial" w:hAnsi="Arial"/>
          <w:sz w:val="22"/>
          <w:szCs w:val="22"/>
          <w:b w:val="1"/>
          <w:bCs w:val="1"/>
          <w:color w:val="auto"/>
        </w:rPr>
        <w:t>Transition Credits</w:t>
      </w:r>
    </w:p>
    <w:p>
      <w:pPr>
        <w:spacing w:after="0" w:line="118" w:lineRule="exact"/>
        <w:rPr>
          <w:sz w:val="20"/>
          <w:szCs w:val="20"/>
          <w:color w:val="auto"/>
        </w:rPr>
      </w:pPr>
    </w:p>
    <w:p>
      <w:pPr>
        <w:ind w:right="40" w:firstLine="648"/>
        <w:spacing w:after="0" w:line="366" w:lineRule="auto"/>
        <w:rPr>
          <w:sz w:val="20"/>
          <w:szCs w:val="20"/>
          <w:color w:val="auto"/>
        </w:rPr>
      </w:pPr>
      <w:r>
        <w:rPr>
          <w:rFonts w:ascii="Arial" w:cs="Arial" w:eastAsia="Arial" w:hAnsi="Arial"/>
          <w:sz w:val="21"/>
          <w:szCs w:val="21"/>
          <w:color w:val="auto"/>
        </w:rPr>
        <w:t>As soon as practicable on or after January 1, 1996, the Company shall credit to the Account of each Participant a number of Stock Units determined in accordance with the schedules set forth in Appendix I and Appendix II to the Plan. The credits set forth in Appendix I shall be provided in lieu of any benefits to which the Participant otherwise would have been entitled under the United Technologies Corporation Directors Retirement Plan as of its termination on December 31, 1995. The credits set forth in Appendix II shall be provided in lieu of any benefits to which the Participant otherwise would be entitled under certain deferred compensation arrangements entered into prior to January 1, 1996. The number of units set forth in Appendix II shall equal the number of tax deferred stock units (if any) credited to the Participant under any such prior deferred compensation arrangement, determined as of December 31, 1995.</w:t>
      </w:r>
    </w:p>
    <w:p>
      <w:pPr>
        <w:spacing w:after="0" w:line="207" w:lineRule="exact"/>
        <w:rPr>
          <w:sz w:val="20"/>
          <w:szCs w:val="20"/>
          <w:color w:val="auto"/>
        </w:rPr>
      </w:pPr>
    </w:p>
    <w:p>
      <w:pPr>
        <w:ind w:left="1300" w:hanging="644"/>
        <w:spacing w:after="0"/>
        <w:tabs>
          <w:tab w:leader="none" w:pos="1300" w:val="left"/>
        </w:tabs>
        <w:numPr>
          <w:ilvl w:val="0"/>
          <w:numId w:val="66"/>
        </w:numPr>
        <w:rPr>
          <w:rFonts w:ascii="Arial" w:cs="Arial" w:eastAsia="Arial" w:hAnsi="Arial"/>
          <w:sz w:val="22"/>
          <w:szCs w:val="22"/>
          <w:b w:val="1"/>
          <w:bCs w:val="1"/>
          <w:color w:val="010000"/>
        </w:rPr>
      </w:pPr>
      <w:r>
        <w:rPr>
          <w:rFonts w:ascii="Arial" w:cs="Arial" w:eastAsia="Arial" w:hAnsi="Arial"/>
          <w:sz w:val="22"/>
          <w:szCs w:val="22"/>
          <w:b w:val="1"/>
          <w:bCs w:val="1"/>
          <w:color w:val="auto"/>
        </w:rPr>
        <w:t>Automatic Credits</w:t>
      </w:r>
    </w:p>
    <w:p>
      <w:pPr>
        <w:spacing w:after="0" w:line="118" w:lineRule="exact"/>
        <w:rPr>
          <w:sz w:val="20"/>
          <w:szCs w:val="20"/>
          <w:color w:val="auto"/>
        </w:rPr>
      </w:pPr>
    </w:p>
    <w:p>
      <w:pPr>
        <w:ind w:right="80" w:firstLine="648"/>
        <w:spacing w:after="0" w:line="461" w:lineRule="auto"/>
        <w:rPr>
          <w:sz w:val="20"/>
          <w:szCs w:val="20"/>
          <w:color w:val="auto"/>
        </w:rPr>
      </w:pPr>
      <w:r>
        <w:rPr>
          <w:rFonts w:ascii="Arial" w:cs="Arial" w:eastAsia="Arial" w:hAnsi="Arial"/>
          <w:sz w:val="19"/>
          <w:szCs w:val="19"/>
          <w:color w:val="auto"/>
        </w:rPr>
        <w:t xml:space="preserve">As of the beginning of each Plan Year, the Company shall credit Stock Units to each Participant’s Account equal in value to 60% of the Participant’s Director’s Fees for the Plan Year, as determined in accordance with </w:t>
      </w:r>
      <w:r>
        <w:rPr>
          <w:rFonts w:ascii="Arial" w:cs="Arial" w:eastAsia="Arial" w:hAnsi="Arial"/>
          <w:sz w:val="19"/>
          <w:szCs w:val="19"/>
          <w:u w:val="single" w:color="auto"/>
          <w:color w:val="auto"/>
        </w:rPr>
        <w:t>Section 4.02(a)(1)</w:t>
      </w:r>
      <w:r>
        <w:rPr>
          <w:rFonts w:ascii="Arial" w:cs="Arial" w:eastAsia="Arial" w:hAnsi="Arial"/>
          <w:sz w:val="19"/>
          <w:szCs w:val="19"/>
          <w:color w:val="auto"/>
        </w:rPr>
        <w:t>.</w:t>
      </w:r>
    </w:p>
    <w:p>
      <w:pPr>
        <w:spacing w:after="0" w:line="127" w:lineRule="exact"/>
        <w:rPr>
          <w:sz w:val="20"/>
          <w:szCs w:val="20"/>
          <w:color w:val="auto"/>
        </w:rPr>
      </w:pPr>
    </w:p>
    <w:p>
      <w:pPr>
        <w:ind w:left="1300" w:hanging="644"/>
        <w:spacing w:after="0"/>
        <w:tabs>
          <w:tab w:leader="none" w:pos="1300" w:val="left"/>
        </w:tabs>
        <w:numPr>
          <w:ilvl w:val="0"/>
          <w:numId w:val="67"/>
        </w:numPr>
        <w:rPr>
          <w:rFonts w:ascii="Arial" w:cs="Arial" w:eastAsia="Arial" w:hAnsi="Arial"/>
          <w:sz w:val="22"/>
          <w:szCs w:val="22"/>
          <w:b w:val="1"/>
          <w:bCs w:val="1"/>
          <w:color w:val="010000"/>
        </w:rPr>
      </w:pPr>
      <w:r>
        <w:rPr>
          <w:rFonts w:ascii="Arial" w:cs="Arial" w:eastAsia="Arial" w:hAnsi="Arial"/>
          <w:sz w:val="22"/>
          <w:szCs w:val="22"/>
          <w:b w:val="1"/>
          <w:bCs w:val="1"/>
          <w:color w:val="auto"/>
        </w:rPr>
        <w:t>Elective Credits</w:t>
      </w:r>
    </w:p>
    <w:p>
      <w:pPr>
        <w:spacing w:after="0" w:line="118" w:lineRule="exact"/>
        <w:rPr>
          <w:sz w:val="20"/>
          <w:szCs w:val="20"/>
          <w:color w:val="auto"/>
        </w:rPr>
      </w:pPr>
    </w:p>
    <w:p>
      <w:pPr>
        <w:jc w:val="both"/>
        <w:ind w:firstLine="648"/>
        <w:spacing w:after="0" w:line="373" w:lineRule="auto"/>
        <w:rPr>
          <w:sz w:val="20"/>
          <w:szCs w:val="20"/>
          <w:color w:val="auto"/>
        </w:rPr>
      </w:pPr>
      <w:r>
        <w:rPr>
          <w:rFonts w:ascii="Arial" w:cs="Arial" w:eastAsia="Arial" w:hAnsi="Arial"/>
          <w:sz w:val="21"/>
          <w:szCs w:val="21"/>
          <w:color w:val="auto"/>
        </w:rPr>
        <w:t xml:space="preserve">A Participant may elect, with respect to each Plan Year, to defer the entire portion (but not a partial portion) of the 40% of the Participant’s Director’s Fees that are not automatically deferred in accordance with </w:t>
      </w:r>
      <w:r>
        <w:rPr>
          <w:rFonts w:ascii="Arial" w:cs="Arial" w:eastAsia="Arial" w:hAnsi="Arial"/>
          <w:sz w:val="21"/>
          <w:szCs w:val="21"/>
          <w:u w:val="single" w:color="auto"/>
          <w:color w:val="auto"/>
        </w:rPr>
        <w:t>Section 3.02</w:t>
      </w:r>
      <w:r>
        <w:rPr>
          <w:rFonts w:ascii="Arial" w:cs="Arial" w:eastAsia="Arial" w:hAnsi="Arial"/>
          <w:sz w:val="21"/>
          <w:szCs w:val="21"/>
          <w:color w:val="auto"/>
        </w:rPr>
        <w:t xml:space="preserve"> and that otherwise would be paid to the Participant in cash. If the Participant makes such an election, the Company shall credit Stock Units to the Participant’s Account equal in value to 40% of the Participant’s Director’s Fees for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00"/>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1200"/>
          </w:cols>
          <w:pgMar w:left="320" w:top="144" w:right="379"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4"/>
          <w:szCs w:val="14"/>
          <w:color w:val="auto"/>
        </w:rPr>
        <w:t>Internal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line="387" w:lineRule="auto"/>
        <w:rPr>
          <w:sz w:val="20"/>
          <w:szCs w:val="20"/>
          <w:color w:val="auto"/>
        </w:rPr>
      </w:pPr>
      <w:r>
        <w:rPr>
          <w:rFonts w:ascii="Arial" w:cs="Arial" w:eastAsia="Arial" w:hAnsi="Arial"/>
          <w:sz w:val="19"/>
          <w:szCs w:val="19"/>
          <w:color w:val="auto"/>
        </w:rPr>
        <w:t xml:space="preserve">Year, as determined in accordance with </w:t>
      </w:r>
      <w:r>
        <w:rPr>
          <w:rFonts w:ascii="Arial" w:cs="Arial" w:eastAsia="Arial" w:hAnsi="Arial"/>
          <w:sz w:val="19"/>
          <w:szCs w:val="19"/>
          <w:u w:val="single" w:color="auto"/>
          <w:color w:val="auto"/>
        </w:rPr>
        <w:t>Section 4.02(a)(1)</w:t>
      </w:r>
      <w:r>
        <w:rPr>
          <w:rFonts w:ascii="Arial" w:cs="Arial" w:eastAsia="Arial" w:hAnsi="Arial"/>
          <w:sz w:val="19"/>
          <w:szCs w:val="19"/>
          <w:color w:val="auto"/>
        </w:rPr>
        <w:t xml:space="preserve">, as of the beginning of the Plan Year with respect to which the election is made (or, if later, as of the first day in the Plan Year on which the individual becomes a Participant). An election under this </w:t>
      </w:r>
      <w:r>
        <w:rPr>
          <w:rFonts w:ascii="Arial" w:cs="Arial" w:eastAsia="Arial" w:hAnsi="Arial"/>
          <w:sz w:val="19"/>
          <w:szCs w:val="19"/>
          <w:u w:val="single" w:color="auto"/>
          <w:color w:val="auto"/>
        </w:rPr>
        <w:t>Section 3.03</w:t>
      </w:r>
      <w:r>
        <w:rPr>
          <w:rFonts w:ascii="Arial" w:cs="Arial" w:eastAsia="Arial" w:hAnsi="Arial"/>
          <w:sz w:val="19"/>
          <w:szCs w:val="19"/>
          <w:color w:val="auto"/>
        </w:rPr>
        <w:t xml:space="preserve"> shall be made in a form and manner satisfactory to the Committee and shall be effective for a Plan Year only if made before the beginning of the Plan Year; provided that an individual who becomes a Participant after the first day of a Plan Year may make the election for that Plan Year within 30 days of becoming a Participant.</w:t>
      </w:r>
    </w:p>
    <w:p>
      <w:pPr>
        <w:spacing w:after="0" w:line="1" w:lineRule="exact"/>
        <w:rPr>
          <w:sz w:val="20"/>
          <w:szCs w:val="20"/>
          <w:color w:val="auto"/>
        </w:rPr>
      </w:pPr>
    </w:p>
    <w:p>
      <w:pPr>
        <w:ind w:left="3040"/>
        <w:spacing w:after="0"/>
        <w:rPr>
          <w:sz w:val="20"/>
          <w:szCs w:val="20"/>
          <w:color w:val="auto"/>
        </w:rPr>
      </w:pPr>
      <w:r>
        <w:rPr>
          <w:rFonts w:ascii="Arial" w:cs="Arial" w:eastAsia="Arial" w:hAnsi="Arial"/>
          <w:sz w:val="22"/>
          <w:szCs w:val="22"/>
          <w:b w:val="1"/>
          <w:bCs w:val="1"/>
          <w:color w:val="010000"/>
        </w:rPr>
        <w:t>Article II.</w:t>
      </w:r>
      <w:r>
        <w:rPr>
          <w:rFonts w:ascii="Arial" w:cs="Arial" w:eastAsia="Arial" w:hAnsi="Arial"/>
          <w:sz w:val="22"/>
          <w:szCs w:val="22"/>
          <w:b w:val="1"/>
          <w:bCs w:val="1"/>
          <w:color w:val="000000"/>
        </w:rPr>
        <w:t>ACCOUNTS AND INVESTMENTS</w:t>
      </w:r>
    </w:p>
    <w:p>
      <w:pPr>
        <w:spacing w:after="0" w:line="274" w:lineRule="exact"/>
        <w:rPr>
          <w:sz w:val="20"/>
          <w:szCs w:val="20"/>
          <w:color w:val="auto"/>
        </w:rPr>
      </w:pPr>
    </w:p>
    <w:p>
      <w:pPr>
        <w:ind w:left="1300" w:hanging="644"/>
        <w:spacing w:after="0"/>
        <w:tabs>
          <w:tab w:leader="none" w:pos="1300" w:val="left"/>
        </w:tabs>
        <w:numPr>
          <w:ilvl w:val="0"/>
          <w:numId w:val="68"/>
        </w:numPr>
        <w:rPr>
          <w:rFonts w:ascii="Arial" w:cs="Arial" w:eastAsia="Arial" w:hAnsi="Arial"/>
          <w:sz w:val="22"/>
          <w:szCs w:val="22"/>
          <w:b w:val="1"/>
          <w:bCs w:val="1"/>
          <w:color w:val="010000"/>
        </w:rPr>
      </w:pPr>
      <w:r>
        <w:rPr>
          <w:rFonts w:ascii="Arial" w:cs="Arial" w:eastAsia="Arial" w:hAnsi="Arial"/>
          <w:sz w:val="22"/>
          <w:szCs w:val="22"/>
          <w:b w:val="1"/>
          <w:bCs w:val="1"/>
          <w:color w:val="auto"/>
        </w:rPr>
        <w:t>Accounts</w:t>
      </w:r>
    </w:p>
    <w:p>
      <w:pPr>
        <w:spacing w:after="0" w:line="112" w:lineRule="exact"/>
        <w:rPr>
          <w:sz w:val="20"/>
          <w:szCs w:val="20"/>
          <w:color w:val="auto"/>
        </w:rPr>
      </w:pPr>
    </w:p>
    <w:p>
      <w:pPr>
        <w:ind w:right="120" w:firstLine="648"/>
        <w:spacing w:after="0" w:line="417" w:lineRule="auto"/>
        <w:rPr>
          <w:sz w:val="20"/>
          <w:szCs w:val="20"/>
          <w:color w:val="auto"/>
        </w:rPr>
      </w:pPr>
      <w:r>
        <w:rPr>
          <w:rFonts w:ascii="Arial" w:cs="Arial" w:eastAsia="Arial" w:hAnsi="Arial"/>
          <w:sz w:val="19"/>
          <w:szCs w:val="19"/>
          <w:b w:val="1"/>
          <w:bCs w:val="1"/>
          <w:color w:val="auto"/>
        </w:rPr>
        <w:t xml:space="preserve">A </w:t>
      </w:r>
      <w:r>
        <w:rPr>
          <w:rFonts w:ascii="Arial" w:cs="Arial" w:eastAsia="Arial" w:hAnsi="Arial"/>
          <w:sz w:val="19"/>
          <w:szCs w:val="19"/>
          <w:color w:val="auto"/>
        </w:rPr>
        <w:t>separate Account under the Plan shall be established for each Participant. Such Account shall be (a) credited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amounts credited in accordance with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(b) credited (or charged, as the case may be) with the investment results determined in accordance with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and (c) charged with the amounts paid by the Plan to or on behalf of the Participant in accordance with </w:t>
      </w:r>
      <w:r>
        <w:rPr>
          <w:rFonts w:ascii="Arial" w:cs="Arial" w:eastAsia="Arial" w:hAnsi="Arial"/>
          <w:sz w:val="19"/>
          <w:szCs w:val="19"/>
          <w:u w:val="single" w:color="auto"/>
          <w:color w:val="auto"/>
        </w:rPr>
        <w:t>Article V</w:t>
      </w:r>
      <w:r>
        <w:rPr>
          <w:rFonts w:ascii="Arial" w:cs="Arial" w:eastAsia="Arial" w:hAnsi="Arial"/>
          <w:sz w:val="19"/>
          <w:szCs w:val="19"/>
          <w:color w:val="auto"/>
        </w:rPr>
        <w:t>. Within each Participant’s Account, separate subaccounts shall be maintained to the extent the Committee determines them to be necessary or useful in the administration of the Plan.</w:t>
      </w:r>
    </w:p>
    <w:p>
      <w:pPr>
        <w:spacing w:after="0" w:line="167" w:lineRule="exact"/>
        <w:rPr>
          <w:sz w:val="20"/>
          <w:szCs w:val="20"/>
          <w:color w:val="auto"/>
        </w:rPr>
      </w:pPr>
    </w:p>
    <w:p>
      <w:pPr>
        <w:ind w:left="1300" w:hanging="644"/>
        <w:spacing w:after="0"/>
        <w:tabs>
          <w:tab w:leader="none" w:pos="1300" w:val="left"/>
        </w:tabs>
        <w:numPr>
          <w:ilvl w:val="0"/>
          <w:numId w:val="69"/>
        </w:numPr>
        <w:rPr>
          <w:rFonts w:ascii="Arial" w:cs="Arial" w:eastAsia="Arial" w:hAnsi="Arial"/>
          <w:sz w:val="22"/>
          <w:szCs w:val="22"/>
          <w:b w:val="1"/>
          <w:bCs w:val="1"/>
          <w:color w:val="010000"/>
        </w:rPr>
      </w:pPr>
      <w:r>
        <w:rPr>
          <w:rFonts w:ascii="Arial" w:cs="Arial" w:eastAsia="Arial" w:hAnsi="Arial"/>
          <w:sz w:val="22"/>
          <w:szCs w:val="22"/>
          <w:b w:val="1"/>
          <w:bCs w:val="1"/>
          <w:color w:val="auto"/>
        </w:rPr>
        <w:t>Stock Units</w:t>
      </w:r>
    </w:p>
    <w:p>
      <w:pPr>
        <w:spacing w:after="0" w:line="111" w:lineRule="exact"/>
        <w:rPr>
          <w:rFonts w:ascii="Arial" w:cs="Arial" w:eastAsia="Arial" w:hAnsi="Arial"/>
          <w:sz w:val="22"/>
          <w:szCs w:val="22"/>
          <w:b w:val="1"/>
          <w:bCs w:val="1"/>
          <w:color w:val="010000"/>
        </w:rPr>
      </w:pPr>
    </w:p>
    <w:p>
      <w:pPr>
        <w:ind w:firstLine="1304"/>
        <w:spacing w:after="0" w:line="358" w:lineRule="auto"/>
        <w:tabs>
          <w:tab w:leader="none" w:pos="1944" w:val="left"/>
        </w:tabs>
        <w:numPr>
          <w:ilvl w:val="1"/>
          <w:numId w:val="69"/>
        </w:numPr>
        <w:rPr>
          <w:rFonts w:ascii="Arial" w:cs="Arial" w:eastAsia="Arial" w:hAnsi="Arial"/>
          <w:sz w:val="22"/>
          <w:szCs w:val="22"/>
          <w:color w:val="010000"/>
        </w:rPr>
      </w:pPr>
      <w:r>
        <w:rPr>
          <w:rFonts w:ascii="Arial" w:cs="Arial" w:eastAsia="Arial" w:hAnsi="Arial"/>
          <w:sz w:val="22"/>
          <w:szCs w:val="22"/>
          <w:b w:val="1"/>
          <w:bCs w:val="1"/>
          <w:color w:val="auto"/>
        </w:rPr>
        <w:t xml:space="preserve">Deemed Investment in UTC Common Stock. </w:t>
      </w:r>
      <w:r>
        <w:rPr>
          <w:rFonts w:ascii="Arial" w:cs="Arial" w:eastAsia="Arial" w:hAnsi="Arial"/>
          <w:sz w:val="22"/>
          <w:szCs w:val="22"/>
          <w:color w:val="auto"/>
        </w:rPr>
        <w:t>Except as provided in subsection (b), below, a Participant’s</w:t>
      </w:r>
      <w:r>
        <w:rPr>
          <w:rFonts w:ascii="Arial" w:cs="Arial" w:eastAsia="Arial" w:hAnsi="Arial"/>
          <w:sz w:val="22"/>
          <w:szCs w:val="22"/>
          <w:b w:val="1"/>
          <w:bCs w:val="1"/>
          <w:color w:val="auto"/>
        </w:rPr>
        <w:t xml:space="preserve"> </w:t>
      </w:r>
      <w:r>
        <w:rPr>
          <w:rFonts w:ascii="Arial" w:cs="Arial" w:eastAsia="Arial" w:hAnsi="Arial"/>
          <w:sz w:val="22"/>
          <w:szCs w:val="22"/>
          <w:color w:val="auto"/>
        </w:rPr>
        <w:t>Account shall be treated as if it were invested in Stock Units that are equivalent in value to the fair market value of shares of UTC Common Stock in accordance with the following rules:</w:t>
      </w:r>
    </w:p>
    <w:p>
      <w:pPr>
        <w:spacing w:after="0" w:line="210" w:lineRule="exact"/>
        <w:rPr>
          <w:rFonts w:ascii="Arial" w:cs="Arial" w:eastAsia="Arial" w:hAnsi="Arial"/>
          <w:sz w:val="22"/>
          <w:szCs w:val="22"/>
          <w:color w:val="010000"/>
        </w:rPr>
      </w:pPr>
    </w:p>
    <w:p>
      <w:pPr>
        <w:jc w:val="both"/>
        <w:ind w:right="80" w:firstLine="1952"/>
        <w:spacing w:after="0" w:line="350" w:lineRule="auto"/>
        <w:tabs>
          <w:tab w:leader="none" w:pos="2592" w:val="left"/>
        </w:tabs>
        <w:numPr>
          <w:ilvl w:val="2"/>
          <w:numId w:val="69"/>
        </w:numPr>
        <w:rPr>
          <w:rFonts w:ascii="Arial" w:cs="Arial" w:eastAsia="Arial" w:hAnsi="Arial"/>
          <w:sz w:val="22"/>
          <w:szCs w:val="22"/>
          <w:color w:val="010000"/>
        </w:rPr>
      </w:pPr>
      <w:r>
        <w:rPr>
          <w:rFonts w:ascii="Arial" w:cs="Arial" w:eastAsia="Arial" w:hAnsi="Arial"/>
          <w:sz w:val="22"/>
          <w:szCs w:val="22"/>
          <w:i w:val="1"/>
          <w:iCs w:val="1"/>
          <w:color w:val="auto"/>
        </w:rPr>
        <w:t xml:space="preserve">Conversion into Stock Units. </w:t>
      </w:r>
      <w:r>
        <w:rPr>
          <w:rFonts w:ascii="Arial" w:cs="Arial" w:eastAsia="Arial" w:hAnsi="Arial"/>
          <w:sz w:val="22"/>
          <w:szCs w:val="22"/>
          <w:color w:val="auto"/>
        </w:rPr>
        <w:t>Any Director’s Fees credited to a Participant’s Account for a Plan</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Year under </w:t>
      </w:r>
      <w:r>
        <w:rPr>
          <w:rFonts w:ascii="Arial" w:cs="Arial" w:eastAsia="Arial" w:hAnsi="Arial"/>
          <w:sz w:val="22"/>
          <w:szCs w:val="22"/>
          <w:u w:val="single" w:color="auto"/>
          <w:color w:val="auto"/>
        </w:rPr>
        <w:t>Section 3.02</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3.03</w:t>
      </w:r>
      <w:r>
        <w:rPr>
          <w:rFonts w:ascii="Arial" w:cs="Arial" w:eastAsia="Arial" w:hAnsi="Arial"/>
          <w:sz w:val="22"/>
          <w:szCs w:val="22"/>
          <w:color w:val="auto"/>
        </w:rPr>
        <w:t xml:space="preserve"> shall be converted into Stock Units (including fractional Stock Units) by dividing the amount credited by the Closing Price on the first business day of the Plan Year; provided that in the case of an individual who becomes a Participant after the first day of a Plan Year, the Closing Price shall be determined as of the day on which the individual becomes a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0"/>
        <w:spacing w:after="0"/>
        <w:rPr>
          <w:sz w:val="20"/>
          <w:szCs w:val="20"/>
          <w:color w:val="auto"/>
        </w:rPr>
      </w:pPr>
      <w:r>
        <w:rPr>
          <w:rFonts w:ascii="Arial" w:cs="Arial" w:eastAsia="Arial" w:hAnsi="Arial"/>
          <w:sz w:val="22"/>
          <w:szCs w:val="22"/>
          <w:color w:val="auto"/>
        </w:rPr>
        <w:t>A-4</w:t>
      </w:r>
    </w:p>
    <w:p>
      <w:pPr>
        <w:sectPr>
          <w:pgSz w:w="11900" w:h="16838" w:orient="portrait"/>
          <w:cols w:equalWidth="0" w:num="1">
            <w:col w:w="11220"/>
          </w:cols>
          <w:pgMar w:left="320" w:top="144" w:right="35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4"/>
          <w:szCs w:val="14"/>
          <w:color w:val="auto"/>
        </w:rPr>
        <w:t>Internal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 w:right="60" w:firstLine="1952"/>
        <w:spacing w:after="0" w:line="368" w:lineRule="auto"/>
        <w:tabs>
          <w:tab w:leader="none" w:pos="2572" w:val="left"/>
        </w:tabs>
        <w:numPr>
          <w:ilvl w:val="1"/>
          <w:numId w:val="70"/>
        </w:numPr>
        <w:rPr>
          <w:rFonts w:ascii="Arial" w:cs="Arial" w:eastAsia="Arial" w:hAnsi="Arial"/>
          <w:sz w:val="21"/>
          <w:szCs w:val="21"/>
          <w:color w:val="010000"/>
        </w:rPr>
      </w:pPr>
      <w:r>
        <w:rPr>
          <w:rFonts w:ascii="Arial" w:cs="Arial" w:eastAsia="Arial" w:hAnsi="Arial"/>
          <w:sz w:val="21"/>
          <w:szCs w:val="21"/>
          <w:i w:val="1"/>
          <w:iCs w:val="1"/>
          <w:color w:val="auto"/>
        </w:rPr>
        <w:t xml:space="preserve">Deemed Reinvestment of Dividends. </w:t>
      </w:r>
      <w:r>
        <w:rPr>
          <w:rFonts w:ascii="Arial" w:cs="Arial" w:eastAsia="Arial" w:hAnsi="Arial"/>
          <w:sz w:val="21"/>
          <w:szCs w:val="21"/>
          <w:color w:val="auto"/>
        </w:rPr>
        <w:t>The number of Stock Units credited to a Participant’s Account</w:t>
      </w:r>
      <w:r>
        <w:rPr>
          <w:rFonts w:ascii="Arial" w:cs="Arial" w:eastAsia="Arial" w:hAnsi="Arial"/>
          <w:sz w:val="21"/>
          <w:szCs w:val="21"/>
          <w:i w:val="1"/>
          <w:iCs w:val="1"/>
          <w:color w:val="auto"/>
        </w:rPr>
        <w:t xml:space="preserve"> </w:t>
      </w:r>
      <w:r>
        <w:rPr>
          <w:rFonts w:ascii="Arial" w:cs="Arial" w:eastAsia="Arial" w:hAnsi="Arial"/>
          <w:sz w:val="21"/>
          <w:szCs w:val="21"/>
          <w:color w:val="auto"/>
        </w:rPr>
        <w:t>shall be increased on each date on which a dividend is paid on UTC Common Stock. The number of additional Stock Units credited to a Participant’s Account as a result of such increase shall be determined by (i) multiplying the total number of Stock Units (excluding fractional Stock Units) credited to the Participant’s Account immediately before such increase by the amount of the dividend paid per share of UTC Common Stock on the dividend payment date, and (ii) dividing the product so determined by the Closing Price on the dividend payment date.</w:t>
      </w:r>
    </w:p>
    <w:p>
      <w:pPr>
        <w:spacing w:after="0" w:line="208" w:lineRule="exact"/>
        <w:rPr>
          <w:rFonts w:ascii="Arial" w:cs="Arial" w:eastAsia="Arial" w:hAnsi="Arial"/>
          <w:sz w:val="21"/>
          <w:szCs w:val="21"/>
          <w:color w:val="010000"/>
        </w:rPr>
      </w:pPr>
    </w:p>
    <w:p>
      <w:pPr>
        <w:ind w:left="-20" w:right="80" w:firstLine="1952"/>
        <w:spacing w:after="0" w:line="356" w:lineRule="auto"/>
        <w:tabs>
          <w:tab w:leader="none" w:pos="2572" w:val="left"/>
        </w:tabs>
        <w:numPr>
          <w:ilvl w:val="1"/>
          <w:numId w:val="70"/>
        </w:numPr>
        <w:rPr>
          <w:rFonts w:ascii="Arial" w:cs="Arial" w:eastAsia="Arial" w:hAnsi="Arial"/>
          <w:sz w:val="22"/>
          <w:szCs w:val="22"/>
          <w:color w:val="010000"/>
        </w:rPr>
      </w:pPr>
      <w:r>
        <w:rPr>
          <w:rFonts w:ascii="Arial" w:cs="Arial" w:eastAsia="Arial" w:hAnsi="Arial"/>
          <w:sz w:val="22"/>
          <w:szCs w:val="22"/>
          <w:i w:val="1"/>
          <w:iCs w:val="1"/>
          <w:color w:val="auto"/>
        </w:rPr>
        <w:t xml:space="preserve">Conversion Out of Stock Units. </w:t>
      </w:r>
      <w:r>
        <w:rPr>
          <w:rFonts w:ascii="Arial" w:cs="Arial" w:eastAsia="Arial" w:hAnsi="Arial"/>
          <w:sz w:val="22"/>
          <w:szCs w:val="22"/>
          <w:color w:val="auto"/>
        </w:rPr>
        <w:t>The dollar value of the Stock Units credited to a Participant’s</w:t>
      </w:r>
      <w:r>
        <w:rPr>
          <w:rFonts w:ascii="Arial" w:cs="Arial" w:eastAsia="Arial" w:hAnsi="Arial"/>
          <w:sz w:val="22"/>
          <w:szCs w:val="22"/>
          <w:i w:val="1"/>
          <w:iCs w:val="1"/>
          <w:color w:val="auto"/>
        </w:rPr>
        <w:t xml:space="preserve"> </w:t>
      </w:r>
      <w:r>
        <w:rPr>
          <w:rFonts w:ascii="Arial" w:cs="Arial" w:eastAsia="Arial" w:hAnsi="Arial"/>
          <w:sz w:val="22"/>
          <w:szCs w:val="22"/>
          <w:color w:val="auto"/>
        </w:rPr>
        <w:t>Account on any date shall be determined by multiplying the number of Stock Units (including fractional Stock Units) credited to the Participant’s Account by the Closing Price on that date.</w:t>
      </w:r>
    </w:p>
    <w:p>
      <w:pPr>
        <w:spacing w:after="0" w:line="210" w:lineRule="exact"/>
        <w:rPr>
          <w:rFonts w:ascii="Arial" w:cs="Arial" w:eastAsia="Arial" w:hAnsi="Arial"/>
          <w:sz w:val="22"/>
          <w:szCs w:val="22"/>
          <w:color w:val="010000"/>
        </w:rPr>
      </w:pPr>
    </w:p>
    <w:p>
      <w:pPr>
        <w:ind w:left="-20" w:firstLine="1952"/>
        <w:spacing w:after="0" w:line="408" w:lineRule="auto"/>
        <w:tabs>
          <w:tab w:leader="none" w:pos="2572" w:val="left"/>
        </w:tabs>
        <w:numPr>
          <w:ilvl w:val="1"/>
          <w:numId w:val="70"/>
        </w:numPr>
        <w:rPr>
          <w:rFonts w:ascii="Arial" w:cs="Arial" w:eastAsia="Arial" w:hAnsi="Arial"/>
          <w:sz w:val="19"/>
          <w:szCs w:val="19"/>
          <w:color w:val="010000"/>
        </w:rPr>
      </w:pPr>
      <w:r>
        <w:rPr>
          <w:rFonts w:ascii="Arial" w:cs="Arial" w:eastAsia="Arial" w:hAnsi="Arial"/>
          <w:sz w:val="19"/>
          <w:szCs w:val="19"/>
          <w:i w:val="1"/>
          <w:iCs w:val="1"/>
          <w:color w:val="auto"/>
        </w:rPr>
        <w:t xml:space="preserve">Effect of Recapitalization. </w:t>
      </w:r>
      <w:r>
        <w:rPr>
          <w:rFonts w:ascii="Arial" w:cs="Arial" w:eastAsia="Arial" w:hAnsi="Arial"/>
          <w:sz w:val="19"/>
          <w:szCs w:val="19"/>
          <w:color w:val="auto"/>
        </w:rPr>
        <w:t>In the event of a transaction or event described in this paragraph (4), the</w:t>
      </w:r>
      <w:r>
        <w:rPr>
          <w:rFonts w:ascii="Arial" w:cs="Arial" w:eastAsia="Arial" w:hAnsi="Arial"/>
          <w:sz w:val="19"/>
          <w:szCs w:val="19"/>
          <w:i w:val="1"/>
          <w:iCs w:val="1"/>
          <w:color w:val="auto"/>
        </w:rPr>
        <w:t xml:space="preserve"> </w:t>
      </w:r>
      <w:r>
        <w:rPr>
          <w:rFonts w:ascii="Arial" w:cs="Arial" w:eastAsia="Arial" w:hAnsi="Arial"/>
          <w:sz w:val="19"/>
          <w:szCs w:val="19"/>
          <w:color w:val="auto"/>
        </w:rPr>
        <w:t>number of Stock Units credited to a Participant’s Account shall be adjusted in such manner as the Committee, in its sole discretion, deems equitable. A transaction or event is described in this paragraph (4) if (i) it is a dividend (other than regular quarterly dividends) or other distribution (whether in the form of cash, shares, other securities, or other property), extraordinary cash dividend, recapitalization, stock split, reverse stock split reorganization, merger, consolidation, split-up, spin-off, repurchase, or exchange of shares or other securities, the issuance or exercisability of stock purchase rights, the issuance of warrants or other rights to purchase shares or other securities, or other similar corporate transaction or event and (ii) the Committee determines that such transaction or event affects the shares of UTC Common Stock, such that an adjustment pursuant to this paragraph (4) is appropriate to prevent dilution or enlargement of the benefits or potential benefits intended to be made available under the Plan.</w:t>
      </w:r>
    </w:p>
    <w:p>
      <w:pPr>
        <w:spacing w:after="0" w:line="180" w:lineRule="exact"/>
        <w:rPr>
          <w:rFonts w:ascii="Arial" w:cs="Arial" w:eastAsia="Arial" w:hAnsi="Arial"/>
          <w:sz w:val="19"/>
          <w:szCs w:val="19"/>
          <w:color w:val="010000"/>
        </w:rPr>
      </w:pPr>
    </w:p>
    <w:p>
      <w:pPr>
        <w:jc w:val="both"/>
        <w:ind w:left="-20" w:right="520" w:firstLine="1304"/>
        <w:spacing w:after="0" w:line="431" w:lineRule="auto"/>
        <w:tabs>
          <w:tab w:leader="none" w:pos="1924" w:val="left"/>
        </w:tabs>
        <w:numPr>
          <w:ilvl w:val="0"/>
          <w:numId w:val="71"/>
        </w:numPr>
        <w:rPr>
          <w:rFonts w:ascii="Arial" w:cs="Arial" w:eastAsia="Arial" w:hAnsi="Arial"/>
          <w:sz w:val="19"/>
          <w:szCs w:val="19"/>
          <w:color w:val="010000"/>
        </w:rPr>
      </w:pPr>
      <w:r>
        <w:rPr>
          <w:rFonts w:ascii="Arial" w:cs="Arial" w:eastAsia="Arial" w:hAnsi="Arial"/>
          <w:sz w:val="19"/>
          <w:szCs w:val="19"/>
          <w:i w:val="1"/>
          <w:iCs w:val="1"/>
          <w:color w:val="auto"/>
        </w:rPr>
        <w:t xml:space="preserve">Change in Deemed Investment Election. </w:t>
      </w:r>
      <w:r>
        <w:rPr>
          <w:rFonts w:ascii="Arial" w:cs="Arial" w:eastAsia="Arial" w:hAnsi="Arial"/>
          <w:sz w:val="19"/>
          <w:szCs w:val="19"/>
          <w:color w:val="auto"/>
        </w:rPr>
        <w:t>A Participant who elects to receive distribution of his or her</w:t>
      </w:r>
      <w:r>
        <w:rPr>
          <w:rFonts w:ascii="Arial" w:cs="Arial" w:eastAsia="Arial" w:hAnsi="Arial"/>
          <w:sz w:val="19"/>
          <w:szCs w:val="19"/>
          <w:i w:val="1"/>
          <w:iCs w:val="1"/>
          <w:color w:val="auto"/>
        </w:rPr>
        <w:t xml:space="preserve"> </w:t>
      </w:r>
      <w:r>
        <w:rPr>
          <w:rFonts w:ascii="Arial" w:cs="Arial" w:eastAsia="Arial" w:hAnsi="Arial"/>
          <w:sz w:val="19"/>
          <w:szCs w:val="19"/>
          <w:color w:val="auto"/>
        </w:rPr>
        <w:t>Accounts in annual installments will continue to have such Account credited with Stock Units during the installment period unless the Participant irrevocably elects to have his or her Account treated, as of the Payment Commencement Date,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80"/>
        <w:spacing w:after="0"/>
        <w:rPr>
          <w:sz w:val="20"/>
          <w:szCs w:val="20"/>
          <w:color w:val="auto"/>
        </w:rPr>
      </w:pPr>
      <w:r>
        <w:rPr>
          <w:rFonts w:ascii="Arial" w:cs="Arial" w:eastAsia="Arial" w:hAnsi="Arial"/>
          <w:sz w:val="22"/>
          <w:szCs w:val="22"/>
          <w:color w:val="auto"/>
        </w:rPr>
        <w:t>A-5</w:t>
      </w:r>
    </w:p>
    <w:p>
      <w:pPr>
        <w:sectPr>
          <w:pgSz w:w="11900" w:h="16838" w:orient="portrait"/>
          <w:cols w:equalWidth="0" w:num="1">
            <w:col w:w="11200"/>
          </w:cols>
          <w:pgMar w:left="340" w:top="144" w:right="359" w:bottom="1440" w:gutter="0" w:footer="0" w:header="0"/>
        </w:sectPr>
      </w:pPr>
    </w:p>
    <w:bookmarkStart w:id="108" w:name="page109"/>
    <w:bookmarkEnd w:id="108"/>
    <w:p>
      <w:pPr>
        <w:jc w:val="center"/>
        <w:ind w:right="-119"/>
        <w:spacing w:after="0"/>
        <w:rPr>
          <w:sz w:val="20"/>
          <w:szCs w:val="20"/>
          <w:color w:val="auto"/>
        </w:rPr>
      </w:pPr>
      <w:r>
        <w:rPr>
          <w:rFonts w:ascii="Arial" w:cs="Arial" w:eastAsia="Arial" w:hAnsi="Arial"/>
          <w:sz w:val="14"/>
          <w:szCs w:val="14"/>
          <w:color w:val="auto"/>
        </w:rPr>
        <w:t>Internal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80"/>
        <w:spacing w:after="0" w:line="420" w:lineRule="auto"/>
        <w:rPr>
          <w:sz w:val="20"/>
          <w:szCs w:val="20"/>
          <w:color w:val="auto"/>
        </w:rPr>
      </w:pPr>
      <w:r>
        <w:rPr>
          <w:rFonts w:ascii="Arial" w:cs="Arial" w:eastAsia="Arial" w:hAnsi="Arial"/>
          <w:sz w:val="19"/>
          <w:szCs w:val="19"/>
          <w:color w:val="auto"/>
        </w:rPr>
        <w:t>if the Account were invested in cash. If a Participant makes such election, the Account will be credited with a rate of interest equal to the average interest rate on 10-Year Treasury Bonds as of the January through October Period in the calendar year prior to the Plan Year in which the interest is credited, plus I %. An election under this subsection (b) shall be made in a form and manner satisfactory to the Committee and shall be effective only if made before the Payment Commencement Date.</w:t>
      </w:r>
    </w:p>
    <w:p>
      <w:pPr>
        <w:spacing w:after="0" w:line="166" w:lineRule="exact"/>
        <w:rPr>
          <w:sz w:val="20"/>
          <w:szCs w:val="20"/>
          <w:color w:val="auto"/>
        </w:rPr>
      </w:pPr>
    </w:p>
    <w:p>
      <w:pPr>
        <w:ind w:left="1300" w:hanging="644"/>
        <w:spacing w:after="0"/>
        <w:tabs>
          <w:tab w:leader="none" w:pos="1300" w:val="left"/>
        </w:tabs>
        <w:numPr>
          <w:ilvl w:val="0"/>
          <w:numId w:val="72"/>
        </w:numPr>
        <w:rPr>
          <w:rFonts w:ascii="Arial" w:cs="Arial" w:eastAsia="Arial" w:hAnsi="Arial"/>
          <w:sz w:val="22"/>
          <w:szCs w:val="22"/>
          <w:b w:val="1"/>
          <w:bCs w:val="1"/>
          <w:color w:val="010000"/>
        </w:rPr>
      </w:pPr>
      <w:r>
        <w:rPr>
          <w:rFonts w:ascii="Arial" w:cs="Arial" w:eastAsia="Arial" w:hAnsi="Arial"/>
          <w:sz w:val="22"/>
          <w:szCs w:val="22"/>
          <w:b w:val="1"/>
          <w:bCs w:val="1"/>
          <w:color w:val="auto"/>
        </w:rPr>
        <w:t>Hypothetical Nature of Accounts and Investments</w:t>
      </w:r>
    </w:p>
    <w:p>
      <w:pPr>
        <w:spacing w:after="0" w:line="118" w:lineRule="exact"/>
        <w:rPr>
          <w:sz w:val="20"/>
          <w:szCs w:val="20"/>
          <w:color w:val="auto"/>
        </w:rPr>
      </w:pPr>
    </w:p>
    <w:p>
      <w:pPr>
        <w:ind w:right="20" w:firstLine="648"/>
        <w:spacing w:after="0" w:line="350" w:lineRule="auto"/>
        <w:rPr>
          <w:sz w:val="20"/>
          <w:szCs w:val="20"/>
          <w:color w:val="auto"/>
        </w:rPr>
      </w:pPr>
      <w:r>
        <w:rPr>
          <w:rFonts w:ascii="Arial" w:cs="Arial" w:eastAsia="Arial" w:hAnsi="Arial"/>
          <w:sz w:val="22"/>
          <w:szCs w:val="22"/>
          <w:color w:val="auto"/>
        </w:rPr>
        <w:t xml:space="preserve">Each Account established under this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shall be maintained for bookkeeping purposes only. Neither the Plan nor any of the Accounts established under the Plan shall hold any actual funds or assets. The Stock Units established hereunder shall be used solely to determine the amounts to be paid hereunder, shall not be or represent an equity security of the Company, shall not be convertible into or otherwise entitle a Participant to acquire an equity security of the Company and shall not carry any voting or dividend rights.</w:t>
      </w:r>
    </w:p>
    <w:p>
      <w:pPr>
        <w:spacing w:after="0" w:line="161" w:lineRule="exact"/>
        <w:rPr>
          <w:sz w:val="20"/>
          <w:szCs w:val="20"/>
          <w:color w:val="auto"/>
        </w:rPr>
      </w:pPr>
    </w:p>
    <w:p>
      <w:pPr>
        <w:ind w:left="4040"/>
        <w:spacing w:after="0"/>
        <w:rPr>
          <w:sz w:val="20"/>
          <w:szCs w:val="20"/>
          <w:color w:val="auto"/>
        </w:rPr>
      </w:pPr>
      <w:r>
        <w:rPr>
          <w:rFonts w:ascii="Arial" w:cs="Arial" w:eastAsia="Arial" w:hAnsi="Arial"/>
          <w:sz w:val="22"/>
          <w:szCs w:val="22"/>
          <w:b w:val="1"/>
          <w:bCs w:val="1"/>
          <w:color w:val="010000"/>
        </w:rPr>
        <w:t>Article III.</w:t>
      </w:r>
      <w:r>
        <w:rPr>
          <w:rFonts w:ascii="Arial" w:cs="Arial" w:eastAsia="Arial" w:hAnsi="Arial"/>
          <w:sz w:val="22"/>
          <w:szCs w:val="22"/>
          <w:b w:val="1"/>
          <w:bCs w:val="1"/>
          <w:color w:val="000000"/>
        </w:rPr>
        <w:t>PAYMENTS</w:t>
      </w:r>
    </w:p>
    <w:p>
      <w:pPr>
        <w:spacing w:after="0" w:line="274" w:lineRule="exact"/>
        <w:rPr>
          <w:sz w:val="20"/>
          <w:szCs w:val="20"/>
          <w:color w:val="auto"/>
        </w:rPr>
      </w:pPr>
    </w:p>
    <w:p>
      <w:pPr>
        <w:ind w:left="1300" w:hanging="644"/>
        <w:spacing w:after="0"/>
        <w:tabs>
          <w:tab w:leader="none" w:pos="1300" w:val="left"/>
        </w:tabs>
        <w:numPr>
          <w:ilvl w:val="0"/>
          <w:numId w:val="73"/>
        </w:numPr>
        <w:rPr>
          <w:rFonts w:ascii="Arial" w:cs="Arial" w:eastAsia="Arial" w:hAnsi="Arial"/>
          <w:sz w:val="22"/>
          <w:szCs w:val="22"/>
          <w:b w:val="1"/>
          <w:bCs w:val="1"/>
          <w:color w:val="010000"/>
        </w:rPr>
      </w:pPr>
      <w:r>
        <w:rPr>
          <w:rFonts w:ascii="Arial" w:cs="Arial" w:eastAsia="Arial" w:hAnsi="Arial"/>
          <w:sz w:val="22"/>
          <w:szCs w:val="22"/>
          <w:b w:val="1"/>
          <w:bCs w:val="1"/>
          <w:color w:val="auto"/>
        </w:rPr>
        <w:t>Entitlement to Payment</w:t>
      </w:r>
    </w:p>
    <w:p>
      <w:pPr>
        <w:spacing w:after="0" w:line="118" w:lineRule="exact"/>
        <w:rPr>
          <w:sz w:val="20"/>
          <w:szCs w:val="20"/>
          <w:color w:val="auto"/>
        </w:rPr>
      </w:pPr>
    </w:p>
    <w:p>
      <w:pPr>
        <w:ind w:right="100" w:firstLine="648"/>
        <w:spacing w:after="0" w:line="352" w:lineRule="auto"/>
        <w:rPr>
          <w:sz w:val="20"/>
          <w:szCs w:val="20"/>
          <w:color w:val="auto"/>
        </w:rPr>
      </w:pPr>
      <w:r>
        <w:rPr>
          <w:rFonts w:ascii="Arial" w:cs="Arial" w:eastAsia="Arial" w:hAnsi="Arial"/>
          <w:sz w:val="22"/>
          <w:szCs w:val="22"/>
          <w:color w:val="auto"/>
        </w:rPr>
        <w:t xml:space="preserve">Credits to a Participant’s Account under </w:t>
      </w:r>
      <w:r>
        <w:rPr>
          <w:rFonts w:ascii="Arial" w:cs="Arial" w:eastAsia="Arial" w:hAnsi="Arial"/>
          <w:sz w:val="22"/>
          <w:szCs w:val="22"/>
          <w:u w:val="single" w:color="auto"/>
          <w:color w:val="auto"/>
        </w:rPr>
        <w:t>Section 3.02</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3.03</w:t>
      </w:r>
      <w:r>
        <w:rPr>
          <w:rFonts w:ascii="Arial" w:cs="Arial" w:eastAsia="Arial" w:hAnsi="Arial"/>
          <w:sz w:val="22"/>
          <w:szCs w:val="22"/>
          <w:color w:val="auto"/>
        </w:rPr>
        <w:t xml:space="preserve"> shall be in lieu of payment to the Participant of the related Director’s Fees. Any payment under the Plan with respect to an Account shall be made solely in cash and as further provided in this </w:t>
      </w:r>
      <w:r>
        <w:rPr>
          <w:rFonts w:ascii="Arial" w:cs="Arial" w:eastAsia="Arial" w:hAnsi="Arial"/>
          <w:sz w:val="22"/>
          <w:szCs w:val="22"/>
          <w:u w:val="single" w:color="auto"/>
          <w:color w:val="auto"/>
        </w:rPr>
        <w:t>Article V</w:t>
      </w:r>
      <w:r>
        <w:rPr>
          <w:rFonts w:ascii="Arial" w:cs="Arial" w:eastAsia="Arial" w:hAnsi="Arial"/>
          <w:sz w:val="22"/>
          <w:szCs w:val="22"/>
          <w:color w:val="auto"/>
        </w:rPr>
        <w:t>. The right of any person to receive one or more payments under the Plan shall be an unsecured claim against the general assets of the Company.</w:t>
      </w:r>
    </w:p>
    <w:p>
      <w:pPr>
        <w:spacing w:after="0" w:line="211" w:lineRule="exact"/>
        <w:rPr>
          <w:sz w:val="20"/>
          <w:szCs w:val="20"/>
          <w:color w:val="auto"/>
        </w:rPr>
      </w:pPr>
    </w:p>
    <w:p>
      <w:pPr>
        <w:ind w:left="1300" w:hanging="644"/>
        <w:spacing w:after="0"/>
        <w:tabs>
          <w:tab w:leader="none" w:pos="1300" w:val="left"/>
        </w:tabs>
        <w:numPr>
          <w:ilvl w:val="0"/>
          <w:numId w:val="74"/>
        </w:numPr>
        <w:rPr>
          <w:rFonts w:ascii="Arial" w:cs="Arial" w:eastAsia="Arial" w:hAnsi="Arial"/>
          <w:sz w:val="22"/>
          <w:szCs w:val="22"/>
          <w:b w:val="1"/>
          <w:bCs w:val="1"/>
          <w:color w:val="010000"/>
        </w:rPr>
      </w:pPr>
      <w:r>
        <w:rPr>
          <w:rFonts w:ascii="Arial" w:cs="Arial" w:eastAsia="Arial" w:hAnsi="Arial"/>
          <w:sz w:val="22"/>
          <w:szCs w:val="22"/>
          <w:b w:val="1"/>
          <w:bCs w:val="1"/>
          <w:color w:val="auto"/>
        </w:rPr>
        <w:t>Payment Commencement Date</w:t>
      </w:r>
    </w:p>
    <w:p>
      <w:pPr>
        <w:spacing w:after="0" w:line="118" w:lineRule="exact"/>
        <w:rPr>
          <w:sz w:val="20"/>
          <w:szCs w:val="20"/>
          <w:color w:val="auto"/>
        </w:rPr>
      </w:pPr>
    </w:p>
    <w:p>
      <w:pPr>
        <w:ind w:firstLine="648"/>
        <w:spacing w:after="0" w:line="420" w:lineRule="auto"/>
        <w:rPr>
          <w:sz w:val="20"/>
          <w:szCs w:val="20"/>
          <w:color w:val="auto"/>
        </w:rPr>
      </w:pPr>
      <w:r>
        <w:rPr>
          <w:rFonts w:ascii="Arial" w:cs="Arial" w:eastAsia="Arial" w:hAnsi="Arial"/>
          <w:sz w:val="19"/>
          <w:szCs w:val="19"/>
          <w:color w:val="auto"/>
        </w:rPr>
        <w:t>Payments to a Participant with respect to the Participant’s Account shall begin as of the Participant’s Payment Commencement Date; provided that if a Participant dies before the Participant’s Payment Commencement Date, payment of the entire value of the Participant’s Account shall be made in a lump sum to the Participant’s Beneficiary as soon as practicable after the Committee receives all documents and other information that it requests in connection with the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00"/>
        <w:spacing w:after="0"/>
        <w:rPr>
          <w:sz w:val="20"/>
          <w:szCs w:val="20"/>
          <w:color w:val="auto"/>
        </w:rPr>
      </w:pPr>
      <w:r>
        <w:rPr>
          <w:rFonts w:ascii="Arial" w:cs="Arial" w:eastAsia="Arial" w:hAnsi="Arial"/>
          <w:sz w:val="22"/>
          <w:szCs w:val="22"/>
          <w:color w:val="auto"/>
        </w:rPr>
        <w:t>A-6</w:t>
      </w:r>
    </w:p>
    <w:p>
      <w:pPr>
        <w:sectPr>
          <w:pgSz w:w="11900" w:h="16838" w:orient="portrait"/>
          <w:cols w:equalWidth="0" w:num="1">
            <w:col w:w="11140"/>
          </w:cols>
          <w:pgMar w:left="320" w:top="144" w:right="4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4"/>
          <w:szCs w:val="14"/>
          <w:color w:val="auto"/>
        </w:rPr>
        <w:t>Internal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220" w:hanging="644"/>
        <w:spacing w:after="0"/>
        <w:tabs>
          <w:tab w:leader="none" w:pos="1220" w:val="left"/>
        </w:tabs>
        <w:numPr>
          <w:ilvl w:val="0"/>
          <w:numId w:val="75"/>
        </w:numPr>
        <w:rPr>
          <w:rFonts w:ascii="Arial" w:cs="Arial" w:eastAsia="Arial" w:hAnsi="Arial"/>
          <w:sz w:val="22"/>
          <w:szCs w:val="22"/>
          <w:b w:val="1"/>
          <w:bCs w:val="1"/>
          <w:color w:val="010000"/>
        </w:rPr>
      </w:pPr>
      <w:r>
        <w:rPr>
          <w:rFonts w:ascii="Arial" w:cs="Arial" w:eastAsia="Arial" w:hAnsi="Arial"/>
          <w:sz w:val="22"/>
          <w:szCs w:val="22"/>
          <w:b w:val="1"/>
          <w:bCs w:val="1"/>
          <w:color w:val="auto"/>
        </w:rPr>
        <w:t>Form and Amount of Payment</w:t>
      </w:r>
    </w:p>
    <w:p>
      <w:pPr>
        <w:spacing w:after="0" w:line="117" w:lineRule="exact"/>
        <w:rPr>
          <w:rFonts w:ascii="Arial" w:cs="Arial" w:eastAsia="Arial" w:hAnsi="Arial"/>
          <w:sz w:val="22"/>
          <w:szCs w:val="22"/>
          <w:b w:val="1"/>
          <w:bCs w:val="1"/>
          <w:color w:val="010000"/>
        </w:rPr>
      </w:pPr>
    </w:p>
    <w:p>
      <w:pPr>
        <w:ind w:left="-80" w:firstLine="1304"/>
        <w:spacing w:after="0" w:line="406" w:lineRule="auto"/>
        <w:tabs>
          <w:tab w:leader="none" w:pos="1864" w:val="left"/>
        </w:tabs>
        <w:numPr>
          <w:ilvl w:val="1"/>
          <w:numId w:val="75"/>
        </w:numPr>
        <w:rPr>
          <w:rFonts w:ascii="Arial" w:cs="Arial" w:eastAsia="Arial" w:hAnsi="Arial"/>
          <w:sz w:val="19"/>
          <w:szCs w:val="19"/>
          <w:color w:val="010000"/>
        </w:rPr>
      </w:pPr>
      <w:r>
        <w:rPr>
          <w:rFonts w:ascii="Arial" w:cs="Arial" w:eastAsia="Arial" w:hAnsi="Arial"/>
          <w:sz w:val="19"/>
          <w:szCs w:val="19"/>
          <w:i w:val="1"/>
          <w:iCs w:val="1"/>
          <w:color w:val="auto"/>
        </w:rPr>
        <w:t xml:space="preserve">Fifteen Annual Installments. </w:t>
      </w:r>
      <w:r>
        <w:rPr>
          <w:rFonts w:ascii="Arial" w:cs="Arial" w:eastAsia="Arial" w:hAnsi="Arial"/>
          <w:sz w:val="19"/>
          <w:szCs w:val="19"/>
          <w:color w:val="auto"/>
        </w:rPr>
        <w:t>A Participant shall receive his or her benefits in 15 annual installments unless</w:t>
      </w:r>
      <w:r>
        <w:rPr>
          <w:rFonts w:ascii="Arial" w:cs="Arial" w:eastAsia="Arial" w:hAnsi="Arial"/>
          <w:sz w:val="19"/>
          <w:szCs w:val="19"/>
          <w:i w:val="1"/>
          <w:iCs w:val="1"/>
          <w:color w:val="auto"/>
        </w:rPr>
        <w:t xml:space="preserve"> </w:t>
      </w:r>
      <w:r>
        <w:rPr>
          <w:rFonts w:ascii="Arial" w:cs="Arial" w:eastAsia="Arial" w:hAnsi="Arial"/>
          <w:sz w:val="19"/>
          <w:szCs w:val="19"/>
          <w:color w:val="auto"/>
        </w:rPr>
        <w:t>the Participant elects to receive his or her benefits under the Plan in the form of a lump-sum payment or in less than 15 annual installments in accordance with subsection (b), below. Annual installments shall be payable to the Participant in cash beginning as of the Payment Commencement Date and continuing as of each Payment Anniversary Date thereafter until all installments have been paid. The first annual installment shall equal one- fifteenth (1/15th) of the value of the Stock Units credited to the Participant’s Account, determined as of the Payment Commencement Date. Each successive annual installment shall equal the value of the Stock Units credited to the Participant’s Account, determined as of the Payment Anniversary Date, multiplied by a fraction, the numerator of which is one, and the denominator of which is the excess of 15 over the number of installment payments previously made (i.e., 1/14th, 1/13th, etc.). If the Participant dies after the Participant’s Payment Commencement Date but before all 15 installments have been paid, the remaining installments shall be paid to the Participant’s Beneficiary in accordance with the schedule in this subsection (a).</w:t>
      </w:r>
    </w:p>
    <w:p>
      <w:pPr>
        <w:spacing w:after="0" w:line="186" w:lineRule="exact"/>
        <w:rPr>
          <w:rFonts w:ascii="Arial" w:cs="Arial" w:eastAsia="Arial" w:hAnsi="Arial"/>
          <w:sz w:val="19"/>
          <w:szCs w:val="19"/>
          <w:color w:val="010000"/>
        </w:rPr>
      </w:pPr>
    </w:p>
    <w:p>
      <w:pPr>
        <w:ind w:left="-80" w:right="180" w:firstLine="1304"/>
        <w:spacing w:after="0" w:line="409" w:lineRule="auto"/>
        <w:tabs>
          <w:tab w:leader="none" w:pos="1864" w:val="left"/>
        </w:tabs>
        <w:numPr>
          <w:ilvl w:val="1"/>
          <w:numId w:val="75"/>
        </w:numPr>
        <w:rPr>
          <w:rFonts w:ascii="Arial" w:cs="Arial" w:eastAsia="Arial" w:hAnsi="Arial"/>
          <w:sz w:val="19"/>
          <w:szCs w:val="19"/>
          <w:color w:val="010000"/>
        </w:rPr>
      </w:pPr>
      <w:r>
        <w:rPr>
          <w:rFonts w:ascii="Arial" w:cs="Arial" w:eastAsia="Arial" w:hAnsi="Arial"/>
          <w:sz w:val="19"/>
          <w:szCs w:val="19"/>
          <w:i w:val="1"/>
          <w:iCs w:val="1"/>
          <w:color w:val="auto"/>
        </w:rPr>
        <w:t xml:space="preserve">Lump Sum, or Less Than 15 Annual Installments. </w:t>
      </w:r>
      <w:r>
        <w:rPr>
          <w:rFonts w:ascii="Arial" w:cs="Arial" w:eastAsia="Arial" w:hAnsi="Arial"/>
          <w:sz w:val="19"/>
          <w:szCs w:val="19"/>
          <w:color w:val="auto"/>
        </w:rPr>
        <w:t>A Participant may elect to receive his or her benefits</w:t>
      </w:r>
      <w:r>
        <w:rPr>
          <w:rFonts w:ascii="Arial" w:cs="Arial" w:eastAsia="Arial" w:hAnsi="Arial"/>
          <w:sz w:val="19"/>
          <w:szCs w:val="19"/>
          <w:i w:val="1"/>
          <w:iCs w:val="1"/>
          <w:color w:val="auto"/>
        </w:rPr>
        <w:t xml:space="preserve"> </w:t>
      </w:r>
      <w:r>
        <w:rPr>
          <w:rFonts w:ascii="Arial" w:cs="Arial" w:eastAsia="Arial" w:hAnsi="Arial"/>
          <w:sz w:val="19"/>
          <w:szCs w:val="19"/>
          <w:color w:val="auto"/>
        </w:rPr>
        <w:t>under the Plan in the form of a lump-sum payment or in two to fourteen installments in lieu of the fifteen installment payments determined under subsection (a), above. The lump sum shall be payable to the Participant in cash as of the Payment Commencement Date and shall equal the value of the Stock Units credited to the Participant’s Account, determined as of the Payment Commencement Date. Installments shall be paid in the manner set forth in subsection (a) above, except that for purposes of determining the amount of the first annual installment, the denominator of the fraction shall equal the number of scheduled annual installments. An election under this subsection (b) shall be made in a form and manner satisfactory to the Committee and shall be effective only if made at least two years before the Participant’s Payment Commencement Date.</w:t>
      </w:r>
    </w:p>
    <w:p>
      <w:pPr>
        <w:spacing w:after="0" w:line="120" w:lineRule="exact"/>
        <w:rPr>
          <w:sz w:val="20"/>
          <w:szCs w:val="20"/>
          <w:color w:val="auto"/>
        </w:rPr>
      </w:pPr>
    </w:p>
    <w:p>
      <w:pPr>
        <w:ind w:left="3600"/>
        <w:spacing w:after="0"/>
        <w:rPr>
          <w:sz w:val="20"/>
          <w:szCs w:val="20"/>
          <w:color w:val="auto"/>
        </w:rPr>
      </w:pPr>
      <w:r>
        <w:rPr>
          <w:rFonts w:ascii="Arial" w:cs="Arial" w:eastAsia="Arial" w:hAnsi="Arial"/>
          <w:sz w:val="22"/>
          <w:szCs w:val="22"/>
          <w:b w:val="1"/>
          <w:bCs w:val="1"/>
          <w:color w:val="010000"/>
        </w:rPr>
        <w:t>Article IV.</w:t>
      </w:r>
      <w:r>
        <w:rPr>
          <w:rFonts w:ascii="Arial" w:cs="Arial" w:eastAsia="Arial" w:hAnsi="Arial"/>
          <w:sz w:val="22"/>
          <w:szCs w:val="22"/>
          <w:b w:val="1"/>
          <w:bCs w:val="1"/>
          <w:color w:val="000000"/>
        </w:rPr>
        <w:t>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A-7</w:t>
      </w:r>
    </w:p>
    <w:p>
      <w:pPr>
        <w:sectPr>
          <w:pgSz w:w="11900" w:h="16838" w:orient="portrait"/>
          <w:cols w:equalWidth="0" w:num="1">
            <w:col w:w="11080"/>
          </w:cols>
          <w:pgMar w:left="400" w:top="144" w:right="419" w:bottom="1440" w:gutter="0" w:footer="0" w:header="0"/>
        </w:sectPr>
      </w:pPr>
    </w:p>
    <w:bookmarkStart w:id="110" w:name="page111"/>
    <w:bookmarkEnd w:id="110"/>
    <w:p>
      <w:pPr>
        <w:jc w:val="center"/>
        <w:ind w:right="-99"/>
        <w:spacing w:after="0"/>
        <w:rPr>
          <w:sz w:val="20"/>
          <w:szCs w:val="20"/>
          <w:color w:val="auto"/>
        </w:rPr>
      </w:pPr>
      <w:r>
        <w:rPr>
          <w:rFonts w:ascii="Arial" w:cs="Arial" w:eastAsia="Arial" w:hAnsi="Arial"/>
          <w:sz w:val="14"/>
          <w:szCs w:val="14"/>
          <w:color w:val="auto"/>
        </w:rPr>
        <w:t>Internal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300" w:hanging="644"/>
        <w:spacing w:after="0"/>
        <w:tabs>
          <w:tab w:leader="none" w:pos="1300" w:val="left"/>
        </w:tabs>
        <w:numPr>
          <w:ilvl w:val="0"/>
          <w:numId w:val="76"/>
        </w:numPr>
        <w:rPr>
          <w:rFonts w:ascii="Arial" w:cs="Arial" w:eastAsia="Arial" w:hAnsi="Arial"/>
          <w:sz w:val="22"/>
          <w:szCs w:val="22"/>
          <w:b w:val="1"/>
          <w:bCs w:val="1"/>
          <w:color w:val="010000"/>
        </w:rPr>
      </w:pPr>
      <w:r>
        <w:rPr>
          <w:rFonts w:ascii="Arial" w:cs="Arial" w:eastAsia="Arial" w:hAnsi="Arial"/>
          <w:sz w:val="22"/>
          <w:szCs w:val="22"/>
          <w:b w:val="1"/>
          <w:bCs w:val="1"/>
          <w:color w:val="auto"/>
        </w:rPr>
        <w:t>In General</w:t>
      </w:r>
    </w:p>
    <w:p>
      <w:pPr>
        <w:spacing w:after="0" w:line="118" w:lineRule="exact"/>
        <w:rPr>
          <w:sz w:val="20"/>
          <w:szCs w:val="20"/>
          <w:color w:val="auto"/>
        </w:rPr>
      </w:pPr>
    </w:p>
    <w:p>
      <w:pPr>
        <w:ind w:firstLine="648"/>
        <w:spacing w:after="0" w:line="410" w:lineRule="auto"/>
        <w:rPr>
          <w:sz w:val="20"/>
          <w:szCs w:val="20"/>
          <w:color w:val="auto"/>
        </w:rPr>
      </w:pPr>
      <w:r>
        <w:rPr>
          <w:rFonts w:ascii="Arial" w:cs="Arial" w:eastAsia="Arial" w:hAnsi="Arial"/>
          <w:sz w:val="19"/>
          <w:szCs w:val="19"/>
          <w:color w:val="auto"/>
        </w:rPr>
        <w:t xml:space="preserve">The Committee shall have the discretionary authority to interpret the Plan and to decide any and all matters arising under the Plan, including without limitation the right to determine eligibility for participation, benefits, and other rights under the Plan; the right to determine whether any election or notice requirement or other administrative procedure under the Plan has been adequately observed; the right to determine the proper recipient of any distribution under the Plan; the right to remedy possible ambiguities, inconsistencies, or omissions by general rule or particular decision; and the right otherwise to interpret the Plan in accordance with its terms. Except as otherwise provided in </w:t>
      </w:r>
      <w:r>
        <w:rPr>
          <w:rFonts w:ascii="Arial" w:cs="Arial" w:eastAsia="Arial" w:hAnsi="Arial"/>
          <w:sz w:val="19"/>
          <w:szCs w:val="19"/>
          <w:u w:val="single" w:color="auto"/>
          <w:color w:val="auto"/>
        </w:rPr>
        <w:t>Section 6.03</w:t>
      </w:r>
      <w:r>
        <w:rPr>
          <w:rFonts w:ascii="Arial" w:cs="Arial" w:eastAsia="Arial" w:hAnsi="Arial"/>
          <w:sz w:val="19"/>
          <w:szCs w:val="19"/>
          <w:color w:val="auto"/>
        </w:rPr>
        <w:t>, the Committee’s determination on any and all questions arising out of the interpretation or administration of the Plan shall be final, conclusive, and binding on all parties.</w:t>
      </w:r>
    </w:p>
    <w:p>
      <w:pPr>
        <w:spacing w:after="0" w:line="176" w:lineRule="exact"/>
        <w:rPr>
          <w:sz w:val="20"/>
          <w:szCs w:val="20"/>
          <w:color w:val="auto"/>
        </w:rPr>
      </w:pPr>
    </w:p>
    <w:p>
      <w:pPr>
        <w:ind w:left="1300" w:hanging="644"/>
        <w:spacing w:after="0"/>
        <w:tabs>
          <w:tab w:leader="none" w:pos="1300" w:val="left"/>
        </w:tabs>
        <w:numPr>
          <w:ilvl w:val="0"/>
          <w:numId w:val="77"/>
        </w:numPr>
        <w:rPr>
          <w:rFonts w:ascii="Arial" w:cs="Arial" w:eastAsia="Arial" w:hAnsi="Arial"/>
          <w:sz w:val="22"/>
          <w:szCs w:val="22"/>
          <w:b w:val="1"/>
          <w:bCs w:val="1"/>
          <w:color w:val="010000"/>
        </w:rPr>
      </w:pPr>
      <w:r>
        <w:rPr>
          <w:rFonts w:ascii="Arial" w:cs="Arial" w:eastAsia="Arial" w:hAnsi="Arial"/>
          <w:sz w:val="22"/>
          <w:szCs w:val="22"/>
          <w:b w:val="1"/>
          <w:bCs w:val="1"/>
          <w:color w:val="auto"/>
        </w:rPr>
        <w:t>Plan Amendment and Termination</w:t>
      </w:r>
    </w:p>
    <w:p>
      <w:pPr>
        <w:spacing w:after="0" w:line="118" w:lineRule="exact"/>
        <w:rPr>
          <w:sz w:val="20"/>
          <w:szCs w:val="20"/>
          <w:color w:val="auto"/>
        </w:rPr>
      </w:pPr>
    </w:p>
    <w:p>
      <w:pPr>
        <w:ind w:right="100" w:firstLine="648"/>
        <w:spacing w:after="0" w:line="370" w:lineRule="auto"/>
        <w:rPr>
          <w:sz w:val="20"/>
          <w:szCs w:val="20"/>
          <w:color w:val="auto"/>
        </w:rPr>
      </w:pPr>
      <w:r>
        <w:rPr>
          <w:rFonts w:ascii="Arial" w:cs="Arial" w:eastAsia="Arial" w:hAnsi="Arial"/>
          <w:sz w:val="21"/>
          <w:szCs w:val="21"/>
          <w:color w:val="auto"/>
        </w:rPr>
        <w:t xml:space="preserve">The Committee may amend, suspend, or terminate the Plan at any time; provided that no amendment, suspension, or termination of the Plan shall, without a Participant’s consent, reduce the Participant’s benefits accrued under the Plan before the date of such amendment, suspension, or termination. If the Plan is terminated in accordance with this </w:t>
      </w:r>
      <w:r>
        <w:rPr>
          <w:rFonts w:ascii="Arial" w:cs="Arial" w:eastAsia="Arial" w:hAnsi="Arial"/>
          <w:sz w:val="21"/>
          <w:szCs w:val="21"/>
          <w:u w:val="single" w:color="auto"/>
          <w:color w:val="auto"/>
        </w:rPr>
        <w:t>Section 6.02</w:t>
      </w:r>
      <w:r>
        <w:rPr>
          <w:rFonts w:ascii="Arial" w:cs="Arial" w:eastAsia="Arial" w:hAnsi="Arial"/>
          <w:sz w:val="21"/>
          <w:szCs w:val="21"/>
          <w:color w:val="auto"/>
        </w:rPr>
        <w:t>, the terms of the Plan as in effect immediately before termination shall determine the right to payment in respect of any amounts that remain credited to a Participant’s or Beneficiary’s Account upon termination.</w:t>
      </w:r>
    </w:p>
    <w:p>
      <w:pPr>
        <w:spacing w:after="0" w:line="198" w:lineRule="exact"/>
        <w:rPr>
          <w:sz w:val="20"/>
          <w:szCs w:val="20"/>
          <w:color w:val="auto"/>
        </w:rPr>
      </w:pPr>
    </w:p>
    <w:p>
      <w:pPr>
        <w:ind w:left="1300" w:hanging="644"/>
        <w:spacing w:after="0"/>
        <w:tabs>
          <w:tab w:leader="none" w:pos="1300" w:val="left"/>
        </w:tabs>
        <w:numPr>
          <w:ilvl w:val="0"/>
          <w:numId w:val="78"/>
        </w:numPr>
        <w:rPr>
          <w:rFonts w:ascii="Arial" w:cs="Arial" w:eastAsia="Arial" w:hAnsi="Arial"/>
          <w:sz w:val="22"/>
          <w:szCs w:val="22"/>
          <w:b w:val="1"/>
          <w:bCs w:val="1"/>
          <w:color w:val="010000"/>
        </w:rPr>
      </w:pPr>
      <w:r>
        <w:rPr>
          <w:rFonts w:ascii="Arial" w:cs="Arial" w:eastAsia="Arial" w:hAnsi="Arial"/>
          <w:sz w:val="22"/>
          <w:szCs w:val="22"/>
          <w:b w:val="1"/>
          <w:bCs w:val="1"/>
          <w:color w:val="auto"/>
        </w:rPr>
        <w:t>Reports to Participants</w:t>
      </w:r>
    </w:p>
    <w:p>
      <w:pPr>
        <w:spacing w:after="0" w:line="118" w:lineRule="exact"/>
        <w:rPr>
          <w:sz w:val="20"/>
          <w:szCs w:val="20"/>
          <w:color w:val="auto"/>
        </w:rPr>
      </w:pPr>
    </w:p>
    <w:p>
      <w:pPr>
        <w:ind w:right="900" w:firstLine="648"/>
        <w:spacing w:after="0" w:line="366" w:lineRule="auto"/>
        <w:rPr>
          <w:sz w:val="20"/>
          <w:szCs w:val="20"/>
          <w:color w:val="auto"/>
        </w:rPr>
      </w:pPr>
      <w:r>
        <w:rPr>
          <w:rFonts w:ascii="Arial" w:cs="Arial" w:eastAsia="Arial" w:hAnsi="Arial"/>
          <w:sz w:val="22"/>
          <w:szCs w:val="22"/>
          <w:color w:val="auto"/>
        </w:rPr>
        <w:t>The Committee shall furnish an annual statement to each Participant (or Beneficiary) reporting the value of the Participant’s (or Beneficiary’s) Account as of the end of the most recent Plan Year.</w:t>
      </w:r>
    </w:p>
    <w:p>
      <w:pPr>
        <w:spacing w:after="0" w:line="194" w:lineRule="exact"/>
        <w:rPr>
          <w:sz w:val="20"/>
          <w:szCs w:val="20"/>
          <w:color w:val="auto"/>
        </w:rPr>
      </w:pPr>
    </w:p>
    <w:p>
      <w:pPr>
        <w:ind w:left="1300" w:hanging="644"/>
        <w:spacing w:after="0"/>
        <w:tabs>
          <w:tab w:leader="none" w:pos="1300" w:val="left"/>
        </w:tabs>
        <w:numPr>
          <w:ilvl w:val="0"/>
          <w:numId w:val="79"/>
        </w:numPr>
        <w:rPr>
          <w:rFonts w:ascii="Arial" w:cs="Arial" w:eastAsia="Arial" w:hAnsi="Arial"/>
          <w:sz w:val="22"/>
          <w:szCs w:val="22"/>
          <w:b w:val="1"/>
          <w:bCs w:val="1"/>
          <w:color w:val="010000"/>
        </w:rPr>
      </w:pPr>
      <w:r>
        <w:rPr>
          <w:rFonts w:ascii="Arial" w:cs="Arial" w:eastAsia="Arial" w:hAnsi="Arial"/>
          <w:sz w:val="22"/>
          <w:szCs w:val="22"/>
          <w:b w:val="1"/>
          <w:bCs w:val="1"/>
          <w:color w:val="auto"/>
        </w:rPr>
        <w:t>Delegation of Authority</w:t>
      </w:r>
    </w:p>
    <w:p>
      <w:pPr>
        <w:spacing w:after="0" w:line="118" w:lineRule="exact"/>
        <w:rPr>
          <w:sz w:val="20"/>
          <w:szCs w:val="20"/>
          <w:color w:val="auto"/>
        </w:rPr>
      </w:pPr>
    </w:p>
    <w:p>
      <w:pPr>
        <w:ind w:firstLine="648"/>
        <w:spacing w:after="0" w:line="366" w:lineRule="auto"/>
        <w:rPr>
          <w:sz w:val="20"/>
          <w:szCs w:val="20"/>
          <w:color w:val="auto"/>
        </w:rPr>
      </w:pPr>
      <w:r>
        <w:rPr>
          <w:rFonts w:ascii="Arial" w:cs="Arial" w:eastAsia="Arial" w:hAnsi="Arial"/>
          <w:sz w:val="22"/>
          <w:szCs w:val="22"/>
          <w:color w:val="auto"/>
        </w:rPr>
        <w:t>The Committee may delegate to officers of the Company any and all authority with which it is vested under the Plan, and the Committee may allocate its responsibilities under the Plan among its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00"/>
        <w:spacing w:after="0"/>
        <w:rPr>
          <w:sz w:val="20"/>
          <w:szCs w:val="20"/>
          <w:color w:val="auto"/>
        </w:rPr>
      </w:pPr>
      <w:r>
        <w:rPr>
          <w:rFonts w:ascii="Arial" w:cs="Arial" w:eastAsia="Arial" w:hAnsi="Arial"/>
          <w:sz w:val="22"/>
          <w:szCs w:val="22"/>
          <w:color w:val="auto"/>
        </w:rPr>
        <w:t>A-8</w:t>
      </w:r>
    </w:p>
    <w:p>
      <w:pPr>
        <w:sectPr>
          <w:pgSz w:w="11900" w:h="16838" w:orient="portrait"/>
          <w:cols w:equalWidth="0" w:num="1">
            <w:col w:w="11140"/>
          </w:cols>
          <w:pgMar w:left="320" w:top="144" w:right="439" w:bottom="1440" w:gutter="0" w:footer="0" w:header="0"/>
        </w:sectPr>
      </w:pPr>
    </w:p>
    <w:bookmarkStart w:id="111" w:name="page112"/>
    <w:bookmarkEnd w:id="111"/>
    <w:p>
      <w:pPr>
        <w:jc w:val="center"/>
        <w:ind w:right="-39"/>
        <w:spacing w:after="0"/>
        <w:rPr>
          <w:sz w:val="20"/>
          <w:szCs w:val="20"/>
          <w:color w:val="auto"/>
        </w:rPr>
      </w:pPr>
      <w:r>
        <w:rPr>
          <w:rFonts w:ascii="Arial" w:cs="Arial" w:eastAsia="Arial" w:hAnsi="Arial"/>
          <w:sz w:val="14"/>
          <w:szCs w:val="14"/>
          <w:color w:val="auto"/>
        </w:rPr>
        <w:t>Internal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800"/>
        <w:spacing w:after="0"/>
        <w:rPr>
          <w:sz w:val="20"/>
          <w:szCs w:val="20"/>
          <w:color w:val="auto"/>
        </w:rPr>
      </w:pPr>
      <w:r>
        <w:rPr>
          <w:rFonts w:ascii="Arial" w:cs="Arial" w:eastAsia="Arial" w:hAnsi="Arial"/>
          <w:sz w:val="22"/>
          <w:szCs w:val="22"/>
          <w:b w:val="1"/>
          <w:bCs w:val="1"/>
          <w:color w:val="010000"/>
        </w:rPr>
        <w:t>Article V.</w:t>
      </w:r>
      <w:r>
        <w:rPr>
          <w:rFonts w:ascii="Arial" w:cs="Arial" w:eastAsia="Arial" w:hAnsi="Arial"/>
          <w:sz w:val="22"/>
          <w:szCs w:val="22"/>
          <w:b w:val="1"/>
          <w:bCs w:val="1"/>
          <w:color w:val="000000"/>
        </w:rPr>
        <w:t>MISCELLANEOUS</w:t>
      </w:r>
    </w:p>
    <w:p>
      <w:pPr>
        <w:spacing w:after="0" w:line="274" w:lineRule="exact"/>
        <w:rPr>
          <w:sz w:val="20"/>
          <w:szCs w:val="20"/>
          <w:color w:val="auto"/>
        </w:rPr>
      </w:pPr>
    </w:p>
    <w:p>
      <w:pPr>
        <w:ind w:left="1300" w:hanging="644"/>
        <w:spacing w:after="0"/>
        <w:tabs>
          <w:tab w:leader="none" w:pos="1300" w:val="left"/>
        </w:tabs>
        <w:numPr>
          <w:ilvl w:val="0"/>
          <w:numId w:val="80"/>
        </w:numPr>
        <w:rPr>
          <w:rFonts w:ascii="Arial" w:cs="Arial" w:eastAsia="Arial" w:hAnsi="Arial"/>
          <w:sz w:val="22"/>
          <w:szCs w:val="22"/>
          <w:b w:val="1"/>
          <w:bCs w:val="1"/>
          <w:color w:val="010000"/>
        </w:rPr>
      </w:pPr>
      <w:r>
        <w:rPr>
          <w:rFonts w:ascii="Arial" w:cs="Arial" w:eastAsia="Arial" w:hAnsi="Arial"/>
          <w:sz w:val="22"/>
          <w:szCs w:val="22"/>
          <w:b w:val="1"/>
          <w:bCs w:val="1"/>
          <w:color w:val="auto"/>
        </w:rPr>
        <w:t>Rights Not Assignable</w:t>
      </w:r>
    </w:p>
    <w:p>
      <w:pPr>
        <w:spacing w:after="0" w:line="118" w:lineRule="exact"/>
        <w:rPr>
          <w:sz w:val="20"/>
          <w:szCs w:val="20"/>
          <w:color w:val="auto"/>
        </w:rPr>
      </w:pPr>
    </w:p>
    <w:p>
      <w:pPr>
        <w:ind w:right="120" w:firstLine="648"/>
        <w:spacing w:after="0" w:line="409" w:lineRule="auto"/>
        <w:rPr>
          <w:sz w:val="20"/>
          <w:szCs w:val="20"/>
          <w:color w:val="auto"/>
        </w:rPr>
      </w:pPr>
      <w:r>
        <w:rPr>
          <w:rFonts w:ascii="Arial" w:cs="Arial" w:eastAsia="Arial" w:hAnsi="Arial"/>
          <w:sz w:val="19"/>
          <w:szCs w:val="19"/>
          <w:color w:val="auto"/>
        </w:rPr>
        <w:t>No payment due under the Plan shall be subject in any manner to anticipation, alienation, sale, transfer, assignment, pledge, encumbrance, or charge in any other way. Any attempt to anticipate, alienate, sell, transfer, assign, pledge, encumber, or charge such payment in any other way shall be void. No such payment or interest therein shall be liable for or subject to the debts, contracts, liabilities, or torts of any Participant or Beneficiary. If any Participant or Beneficiary becomes bankrupt or attempts to anticipate, alienate, sell, transfer, assign, pledge, encumber, or charge in any other way any payment under the Plan, the Committee may direct that such payment be suspended and that all future payments to which such Participant or Beneficiary otherwise would be entitled be held and applied for the benefit of such person, the person’s children or other dependents, or any of them, in such manner and in such proportions as the Committee may deem proper.</w:t>
      </w:r>
    </w:p>
    <w:p>
      <w:pPr>
        <w:spacing w:after="0" w:line="174" w:lineRule="exact"/>
        <w:rPr>
          <w:sz w:val="20"/>
          <w:szCs w:val="20"/>
          <w:color w:val="auto"/>
        </w:rPr>
      </w:pPr>
    </w:p>
    <w:p>
      <w:pPr>
        <w:ind w:left="1300" w:hanging="644"/>
        <w:spacing w:after="0"/>
        <w:tabs>
          <w:tab w:leader="none" w:pos="1300" w:val="left"/>
        </w:tabs>
        <w:numPr>
          <w:ilvl w:val="0"/>
          <w:numId w:val="81"/>
        </w:numPr>
        <w:rPr>
          <w:rFonts w:ascii="Arial" w:cs="Arial" w:eastAsia="Arial" w:hAnsi="Arial"/>
          <w:sz w:val="22"/>
          <w:szCs w:val="22"/>
          <w:b w:val="1"/>
          <w:bCs w:val="1"/>
          <w:color w:val="010000"/>
        </w:rPr>
      </w:pPr>
      <w:r>
        <w:rPr>
          <w:rFonts w:ascii="Arial" w:cs="Arial" w:eastAsia="Arial" w:hAnsi="Arial"/>
          <w:sz w:val="22"/>
          <w:szCs w:val="22"/>
          <w:b w:val="1"/>
          <w:bCs w:val="1"/>
          <w:color w:val="auto"/>
        </w:rPr>
        <w:t>Certain Rights Reserved</w:t>
      </w:r>
    </w:p>
    <w:p>
      <w:pPr>
        <w:spacing w:after="0" w:line="118" w:lineRule="exact"/>
        <w:rPr>
          <w:sz w:val="20"/>
          <w:szCs w:val="20"/>
          <w:color w:val="auto"/>
        </w:rPr>
      </w:pPr>
    </w:p>
    <w:p>
      <w:pPr>
        <w:ind w:right="100" w:firstLine="648"/>
        <w:spacing w:after="0" w:line="366" w:lineRule="auto"/>
        <w:rPr>
          <w:sz w:val="20"/>
          <w:szCs w:val="20"/>
          <w:color w:val="auto"/>
        </w:rPr>
      </w:pPr>
      <w:r>
        <w:rPr>
          <w:rFonts w:ascii="Arial" w:cs="Arial" w:eastAsia="Arial" w:hAnsi="Arial"/>
          <w:sz w:val="22"/>
          <w:szCs w:val="22"/>
          <w:color w:val="auto"/>
        </w:rPr>
        <w:t>Nothing in the Plan shall confer upon any person the right to continue to serve as a member of the Board or to participate in the Plan other than in accordance with its terms.</w:t>
      </w:r>
    </w:p>
    <w:p>
      <w:pPr>
        <w:spacing w:after="0" w:line="194" w:lineRule="exact"/>
        <w:rPr>
          <w:sz w:val="20"/>
          <w:szCs w:val="20"/>
          <w:color w:val="auto"/>
        </w:rPr>
      </w:pPr>
    </w:p>
    <w:p>
      <w:pPr>
        <w:ind w:left="1300" w:hanging="644"/>
        <w:spacing w:after="0"/>
        <w:tabs>
          <w:tab w:leader="none" w:pos="1300" w:val="left"/>
        </w:tabs>
        <w:numPr>
          <w:ilvl w:val="0"/>
          <w:numId w:val="82"/>
        </w:numPr>
        <w:rPr>
          <w:rFonts w:ascii="Arial" w:cs="Arial" w:eastAsia="Arial" w:hAnsi="Arial"/>
          <w:sz w:val="22"/>
          <w:szCs w:val="22"/>
          <w:b w:val="1"/>
          <w:bCs w:val="1"/>
          <w:color w:val="010000"/>
        </w:rPr>
      </w:pPr>
      <w:r>
        <w:rPr>
          <w:rFonts w:ascii="Arial" w:cs="Arial" w:eastAsia="Arial" w:hAnsi="Arial"/>
          <w:sz w:val="22"/>
          <w:szCs w:val="22"/>
          <w:b w:val="1"/>
          <w:bCs w:val="1"/>
          <w:color w:val="auto"/>
        </w:rPr>
        <w:t>Withholding Taxes</w:t>
      </w:r>
    </w:p>
    <w:p>
      <w:pPr>
        <w:spacing w:after="0" w:line="118" w:lineRule="exact"/>
        <w:rPr>
          <w:sz w:val="20"/>
          <w:szCs w:val="20"/>
          <w:color w:val="auto"/>
        </w:rPr>
      </w:pPr>
    </w:p>
    <w:p>
      <w:pPr>
        <w:ind w:firstLine="648"/>
        <w:spacing w:after="0" w:line="461" w:lineRule="auto"/>
        <w:rPr>
          <w:sz w:val="20"/>
          <w:szCs w:val="20"/>
          <w:color w:val="auto"/>
        </w:rPr>
      </w:pPr>
      <w:r>
        <w:rPr>
          <w:rFonts w:ascii="Arial" w:cs="Arial" w:eastAsia="Arial" w:hAnsi="Arial"/>
          <w:sz w:val="19"/>
          <w:szCs w:val="19"/>
          <w:color w:val="auto"/>
        </w:rPr>
        <w:t>The Committee may make any appropriate arrangements to deduct from all credits and payments under the Plan any taxes that the Committee reasonably determines to be required by law to be withheld from such credits and payments.</w:t>
      </w:r>
    </w:p>
    <w:p>
      <w:pPr>
        <w:spacing w:after="0" w:line="127" w:lineRule="exact"/>
        <w:rPr>
          <w:sz w:val="20"/>
          <w:szCs w:val="20"/>
          <w:color w:val="auto"/>
        </w:rPr>
      </w:pPr>
    </w:p>
    <w:p>
      <w:pPr>
        <w:ind w:left="1300" w:hanging="644"/>
        <w:spacing w:after="0"/>
        <w:tabs>
          <w:tab w:leader="none" w:pos="1300" w:val="left"/>
        </w:tabs>
        <w:numPr>
          <w:ilvl w:val="0"/>
          <w:numId w:val="83"/>
        </w:numPr>
        <w:rPr>
          <w:rFonts w:ascii="Arial" w:cs="Arial" w:eastAsia="Arial" w:hAnsi="Arial"/>
          <w:sz w:val="22"/>
          <w:szCs w:val="22"/>
          <w:b w:val="1"/>
          <w:bCs w:val="1"/>
          <w:color w:val="010000"/>
        </w:rPr>
      </w:pPr>
      <w:r>
        <w:rPr>
          <w:rFonts w:ascii="Arial" w:cs="Arial" w:eastAsia="Arial" w:hAnsi="Arial"/>
          <w:sz w:val="22"/>
          <w:szCs w:val="22"/>
          <w:b w:val="1"/>
          <w:bCs w:val="1"/>
          <w:color w:val="auto"/>
        </w:rPr>
        <w:t>Incompetence</w:t>
      </w:r>
    </w:p>
    <w:p>
      <w:pPr>
        <w:spacing w:after="0" w:line="118" w:lineRule="exact"/>
        <w:rPr>
          <w:sz w:val="20"/>
          <w:szCs w:val="20"/>
          <w:color w:val="auto"/>
        </w:rPr>
      </w:pPr>
    </w:p>
    <w:p>
      <w:pPr>
        <w:ind w:firstLine="648"/>
        <w:spacing w:after="0" w:line="350" w:lineRule="auto"/>
        <w:rPr>
          <w:sz w:val="20"/>
          <w:szCs w:val="20"/>
          <w:color w:val="auto"/>
        </w:rPr>
      </w:pPr>
      <w:r>
        <w:rPr>
          <w:rFonts w:ascii="Arial" w:cs="Arial" w:eastAsia="Arial" w:hAnsi="Arial"/>
          <w:sz w:val="22"/>
          <w:szCs w:val="22"/>
          <w:color w:val="auto"/>
        </w:rPr>
        <w:t>If the Committee determines, upon evidence satisfactory to the Committee, that any Participant or Beneficiary to whom a benefit is payable under the Plan is unable to care for his or her affairs because of illness or accident or otherwise, any payment due under the Plan (unless prior claim therefore shall have been made by a duly authorized guardian or other legal representative) may be paid, upon appropriate indemnification of the Committee and the Company, to the spouse of the Participant or Beneficiary or other person deemed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00"/>
        <w:spacing w:after="0"/>
        <w:rPr>
          <w:sz w:val="20"/>
          <w:szCs w:val="20"/>
          <w:color w:val="auto"/>
        </w:rPr>
      </w:pPr>
      <w:r>
        <w:rPr>
          <w:rFonts w:ascii="Arial" w:cs="Arial" w:eastAsia="Arial" w:hAnsi="Arial"/>
          <w:sz w:val="22"/>
          <w:szCs w:val="22"/>
          <w:color w:val="auto"/>
        </w:rPr>
        <w:t>A-9</w:t>
      </w:r>
    </w:p>
    <w:p>
      <w:pPr>
        <w:sectPr>
          <w:pgSz w:w="11900" w:h="16838" w:orient="portrait"/>
          <w:cols w:equalWidth="0" w:num="1">
            <w:col w:w="11220"/>
          </w:cols>
          <w:pgMar w:left="320" w:top="144" w:right="359" w:bottom="1440" w:gutter="0" w:footer="0" w:header="0"/>
        </w:sectPr>
      </w:pPr>
    </w:p>
    <w:bookmarkStart w:id="112" w:name="page113"/>
    <w:bookmarkEnd w:id="112"/>
    <w:p>
      <w:pPr>
        <w:jc w:val="center"/>
        <w:ind w:right="-99"/>
        <w:spacing w:after="0"/>
        <w:rPr>
          <w:sz w:val="20"/>
          <w:szCs w:val="20"/>
          <w:color w:val="auto"/>
        </w:rPr>
      </w:pPr>
      <w:r>
        <w:rPr>
          <w:rFonts w:ascii="Arial" w:cs="Arial" w:eastAsia="Arial" w:hAnsi="Arial"/>
          <w:sz w:val="14"/>
          <w:szCs w:val="14"/>
          <w:color w:val="auto"/>
        </w:rPr>
        <w:t>Internal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line="366" w:lineRule="auto"/>
        <w:rPr>
          <w:sz w:val="20"/>
          <w:szCs w:val="20"/>
          <w:color w:val="auto"/>
        </w:rPr>
      </w:pPr>
      <w:r>
        <w:rPr>
          <w:rFonts w:ascii="Arial" w:cs="Arial" w:eastAsia="Arial" w:hAnsi="Arial"/>
          <w:sz w:val="22"/>
          <w:szCs w:val="22"/>
          <w:color w:val="auto"/>
        </w:rPr>
        <w:t>Committee to have incurred expenses for the benefit of and on behalf of such Participant or Beneficiary. Any such payment shall be a complete discharge of any liability under the Plan with respect to the amount so paid.</w:t>
      </w:r>
    </w:p>
    <w:p>
      <w:pPr>
        <w:spacing w:after="0" w:line="194" w:lineRule="exact"/>
        <w:rPr>
          <w:sz w:val="20"/>
          <w:szCs w:val="20"/>
          <w:color w:val="auto"/>
        </w:rPr>
      </w:pPr>
    </w:p>
    <w:p>
      <w:pPr>
        <w:ind w:left="1280" w:hanging="624"/>
        <w:spacing w:after="0"/>
        <w:tabs>
          <w:tab w:leader="none" w:pos="1280" w:val="left"/>
        </w:tabs>
        <w:numPr>
          <w:ilvl w:val="0"/>
          <w:numId w:val="84"/>
        </w:numPr>
        <w:rPr>
          <w:rFonts w:ascii="Arial" w:cs="Arial" w:eastAsia="Arial" w:hAnsi="Arial"/>
          <w:sz w:val="22"/>
          <w:szCs w:val="22"/>
          <w:b w:val="1"/>
          <w:bCs w:val="1"/>
          <w:color w:val="010000"/>
        </w:rPr>
      </w:pPr>
      <w:r>
        <w:rPr>
          <w:rFonts w:ascii="Arial" w:cs="Arial" w:eastAsia="Arial" w:hAnsi="Arial"/>
          <w:sz w:val="22"/>
          <w:szCs w:val="22"/>
          <w:b w:val="1"/>
          <w:bCs w:val="1"/>
          <w:color w:val="auto"/>
        </w:rPr>
        <w:t>Inability to Locate Participants and Beneficiaries</w:t>
      </w:r>
    </w:p>
    <w:p>
      <w:pPr>
        <w:spacing w:after="0" w:line="118" w:lineRule="exact"/>
        <w:rPr>
          <w:sz w:val="20"/>
          <w:szCs w:val="20"/>
          <w:color w:val="auto"/>
        </w:rPr>
      </w:pPr>
    </w:p>
    <w:p>
      <w:pPr>
        <w:ind w:right="40" w:firstLine="648"/>
        <w:spacing w:after="0" w:line="410" w:lineRule="auto"/>
        <w:rPr>
          <w:sz w:val="20"/>
          <w:szCs w:val="20"/>
          <w:color w:val="auto"/>
        </w:rPr>
      </w:pPr>
      <w:r>
        <w:rPr>
          <w:rFonts w:ascii="Arial" w:cs="Arial" w:eastAsia="Arial" w:hAnsi="Arial"/>
          <w:sz w:val="19"/>
          <w:szCs w:val="19"/>
          <w:color w:val="auto"/>
        </w:rPr>
        <w:t>Each Participant and Beneficiary entitled to receive a payment under the Plan shall keep the Committee advised of his or her current address. If the Committee is unable for a period of 36 months to locate a Participant or Beneficiary to whom a payment is due under the Plan, commencing with the first day of the month as of which such payment first comes due, the total amount payable to such Participant or Beneficiary shall be forfeited. Should such a Participant or Beneficiary subsequently contact the Committee requesting payment, the Committee shall, upon receipt of all documents and other information that it might request in connection with the payment, restore and pay the forfeited payment in a lump sum, the value of which shall not be adjusted to reflect any interest or other type of investment earnings or gains for the period of forfeiture.</w:t>
      </w:r>
    </w:p>
    <w:p>
      <w:pPr>
        <w:spacing w:after="0" w:line="176" w:lineRule="exact"/>
        <w:rPr>
          <w:sz w:val="20"/>
          <w:szCs w:val="20"/>
          <w:color w:val="auto"/>
        </w:rPr>
      </w:pPr>
    </w:p>
    <w:p>
      <w:pPr>
        <w:ind w:left="1300" w:hanging="644"/>
        <w:spacing w:after="0"/>
        <w:tabs>
          <w:tab w:leader="none" w:pos="1300" w:val="left"/>
        </w:tabs>
        <w:numPr>
          <w:ilvl w:val="0"/>
          <w:numId w:val="85"/>
        </w:numPr>
        <w:rPr>
          <w:rFonts w:ascii="Arial" w:cs="Arial" w:eastAsia="Arial" w:hAnsi="Arial"/>
          <w:sz w:val="22"/>
          <w:szCs w:val="22"/>
          <w:b w:val="1"/>
          <w:bCs w:val="1"/>
          <w:color w:val="010000"/>
        </w:rPr>
      </w:pPr>
      <w:r>
        <w:rPr>
          <w:rFonts w:ascii="Arial" w:cs="Arial" w:eastAsia="Arial" w:hAnsi="Arial"/>
          <w:sz w:val="22"/>
          <w:szCs w:val="22"/>
          <w:b w:val="1"/>
          <w:bCs w:val="1"/>
          <w:color w:val="auto"/>
        </w:rPr>
        <w:t>Successors</w:t>
      </w:r>
    </w:p>
    <w:p>
      <w:pPr>
        <w:spacing w:after="0" w:line="118" w:lineRule="exact"/>
        <w:rPr>
          <w:sz w:val="20"/>
          <w:szCs w:val="20"/>
          <w:color w:val="auto"/>
        </w:rPr>
      </w:pPr>
    </w:p>
    <w:p>
      <w:pPr>
        <w:ind w:right="280" w:firstLine="648"/>
        <w:spacing w:after="0" w:line="373" w:lineRule="auto"/>
        <w:rPr>
          <w:sz w:val="20"/>
          <w:szCs w:val="20"/>
          <w:color w:val="auto"/>
        </w:rPr>
      </w:pPr>
      <w:r>
        <w:rPr>
          <w:rFonts w:ascii="Arial" w:cs="Arial" w:eastAsia="Arial" w:hAnsi="Arial"/>
          <w:sz w:val="21"/>
          <w:szCs w:val="21"/>
          <w:color w:val="auto"/>
        </w:rPr>
        <w:t>The provisions of the Plan shall bind and inure to the benefit of the Company and its successors and assigns. The term “successors” as used in the preceding sentence shall include any corporation or other business entity that by merger, consolidation, purchase, or otherwise acquires all or substantially all of the business and assets of the Company, and any successors and assigns of any such corporation or other business entity.</w:t>
      </w:r>
    </w:p>
    <w:p>
      <w:pPr>
        <w:spacing w:after="0" w:line="194" w:lineRule="exact"/>
        <w:rPr>
          <w:sz w:val="20"/>
          <w:szCs w:val="20"/>
          <w:color w:val="auto"/>
        </w:rPr>
      </w:pPr>
    </w:p>
    <w:p>
      <w:pPr>
        <w:ind w:left="1300" w:hanging="644"/>
        <w:spacing w:after="0"/>
        <w:tabs>
          <w:tab w:leader="none" w:pos="1300" w:val="left"/>
        </w:tabs>
        <w:numPr>
          <w:ilvl w:val="0"/>
          <w:numId w:val="86"/>
        </w:numPr>
        <w:rPr>
          <w:rFonts w:ascii="Arial" w:cs="Arial" w:eastAsia="Arial" w:hAnsi="Arial"/>
          <w:sz w:val="22"/>
          <w:szCs w:val="22"/>
          <w:b w:val="1"/>
          <w:bCs w:val="1"/>
          <w:color w:val="010000"/>
        </w:rPr>
      </w:pPr>
      <w:r>
        <w:rPr>
          <w:rFonts w:ascii="Arial" w:cs="Arial" w:eastAsia="Arial" w:hAnsi="Arial"/>
          <w:sz w:val="22"/>
          <w:szCs w:val="22"/>
          <w:b w:val="1"/>
          <w:bCs w:val="1"/>
          <w:color w:val="auto"/>
        </w:rPr>
        <w:t>Usage</w:t>
      </w:r>
    </w:p>
    <w:p>
      <w:pPr>
        <w:spacing w:after="0" w:line="117" w:lineRule="exact"/>
        <w:rPr>
          <w:rFonts w:ascii="Arial" w:cs="Arial" w:eastAsia="Arial" w:hAnsi="Arial"/>
          <w:sz w:val="22"/>
          <w:szCs w:val="22"/>
          <w:b w:val="1"/>
          <w:bCs w:val="1"/>
          <w:color w:val="010000"/>
        </w:rPr>
      </w:pPr>
    </w:p>
    <w:p>
      <w:pPr>
        <w:ind w:firstLine="1304"/>
        <w:spacing w:after="0" w:line="461" w:lineRule="auto"/>
        <w:tabs>
          <w:tab w:leader="none" w:pos="1944" w:val="left"/>
        </w:tabs>
        <w:numPr>
          <w:ilvl w:val="1"/>
          <w:numId w:val="86"/>
        </w:numPr>
        <w:rPr>
          <w:rFonts w:ascii="Arial" w:cs="Arial" w:eastAsia="Arial" w:hAnsi="Arial"/>
          <w:sz w:val="19"/>
          <w:szCs w:val="19"/>
          <w:color w:val="010000"/>
        </w:rPr>
      </w:pPr>
      <w:r>
        <w:rPr>
          <w:rFonts w:ascii="Arial" w:cs="Arial" w:eastAsia="Arial" w:hAnsi="Arial"/>
          <w:sz w:val="19"/>
          <w:szCs w:val="19"/>
          <w:i w:val="1"/>
          <w:iCs w:val="1"/>
          <w:color w:val="auto"/>
        </w:rPr>
        <w:t xml:space="preserve">Titles and Headings. </w:t>
      </w:r>
      <w:r>
        <w:rPr>
          <w:rFonts w:ascii="Arial" w:cs="Arial" w:eastAsia="Arial" w:hAnsi="Arial"/>
          <w:sz w:val="19"/>
          <w:szCs w:val="19"/>
          <w:color w:val="auto"/>
        </w:rPr>
        <w:t>The titles to Articles and the headings of Sections, subsections, and paragraphs in the</w:t>
      </w:r>
      <w:r>
        <w:rPr>
          <w:rFonts w:ascii="Arial" w:cs="Arial" w:eastAsia="Arial" w:hAnsi="Arial"/>
          <w:sz w:val="19"/>
          <w:szCs w:val="19"/>
          <w:i w:val="1"/>
          <w:iCs w:val="1"/>
          <w:color w:val="auto"/>
        </w:rPr>
        <w:t xml:space="preserve"> </w:t>
      </w:r>
      <w:r>
        <w:rPr>
          <w:rFonts w:ascii="Arial" w:cs="Arial" w:eastAsia="Arial" w:hAnsi="Arial"/>
          <w:sz w:val="19"/>
          <w:szCs w:val="19"/>
          <w:color w:val="auto"/>
        </w:rPr>
        <w:t>Plan are placed herein for convenience of reference only and shall be of no force or effect in the interpretation of the Plan</w:t>
      </w:r>
    </w:p>
    <w:p>
      <w:pPr>
        <w:spacing w:after="0" w:line="132" w:lineRule="exact"/>
        <w:rPr>
          <w:rFonts w:ascii="Arial" w:cs="Arial" w:eastAsia="Arial" w:hAnsi="Arial"/>
          <w:sz w:val="19"/>
          <w:szCs w:val="19"/>
          <w:color w:val="010000"/>
        </w:rPr>
      </w:pPr>
    </w:p>
    <w:p>
      <w:pPr>
        <w:ind w:left="1960" w:hanging="656"/>
        <w:spacing w:after="0"/>
        <w:tabs>
          <w:tab w:leader="none" w:pos="1960" w:val="left"/>
        </w:tabs>
        <w:numPr>
          <w:ilvl w:val="1"/>
          <w:numId w:val="86"/>
        </w:numPr>
        <w:rPr>
          <w:rFonts w:ascii="Arial" w:cs="Arial" w:eastAsia="Arial" w:hAnsi="Arial"/>
          <w:sz w:val="22"/>
          <w:szCs w:val="22"/>
          <w:color w:val="010000"/>
        </w:rPr>
      </w:pPr>
      <w:r>
        <w:rPr>
          <w:rFonts w:ascii="Arial" w:cs="Arial" w:eastAsia="Arial" w:hAnsi="Arial"/>
          <w:sz w:val="22"/>
          <w:szCs w:val="22"/>
          <w:i w:val="1"/>
          <w:iCs w:val="1"/>
          <w:color w:val="auto"/>
        </w:rPr>
        <w:t xml:space="preserve">Number. </w:t>
      </w:r>
      <w:r>
        <w:rPr>
          <w:rFonts w:ascii="Arial" w:cs="Arial" w:eastAsia="Arial" w:hAnsi="Arial"/>
          <w:sz w:val="22"/>
          <w:szCs w:val="22"/>
          <w:color w:val="auto"/>
        </w:rPr>
        <w:t>The singular form shall include the plural, where appropriate.</w:t>
      </w:r>
    </w:p>
    <w:p>
      <w:pPr>
        <w:spacing w:after="0" w:line="348" w:lineRule="exact"/>
        <w:rPr>
          <w:rFonts w:ascii="Arial" w:cs="Arial" w:eastAsia="Arial" w:hAnsi="Arial"/>
          <w:sz w:val="22"/>
          <w:szCs w:val="22"/>
          <w:color w:val="010000"/>
        </w:rPr>
      </w:pPr>
    </w:p>
    <w:p>
      <w:pPr>
        <w:ind w:left="1300" w:hanging="644"/>
        <w:spacing w:after="0"/>
        <w:tabs>
          <w:tab w:leader="none" w:pos="1300" w:val="left"/>
        </w:tabs>
        <w:numPr>
          <w:ilvl w:val="0"/>
          <w:numId w:val="86"/>
        </w:numPr>
        <w:rPr>
          <w:rFonts w:ascii="Arial" w:cs="Arial" w:eastAsia="Arial" w:hAnsi="Arial"/>
          <w:sz w:val="22"/>
          <w:szCs w:val="22"/>
          <w:b w:val="1"/>
          <w:bCs w:val="1"/>
          <w:color w:val="010000"/>
        </w:rPr>
      </w:pPr>
      <w:r>
        <w:rPr>
          <w:rFonts w:ascii="Arial" w:cs="Arial" w:eastAsia="Arial" w:hAnsi="Arial"/>
          <w:sz w:val="22"/>
          <w:szCs w:val="22"/>
          <w:b w:val="1"/>
          <w:bCs w:val="1"/>
          <w:color w:val="auto"/>
        </w:rPr>
        <w:t>Severability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00"/>
        <w:spacing w:after="0"/>
        <w:rPr>
          <w:sz w:val="20"/>
          <w:szCs w:val="20"/>
          <w:color w:val="auto"/>
        </w:rPr>
      </w:pPr>
      <w:r>
        <w:rPr>
          <w:rFonts w:ascii="Arial" w:cs="Arial" w:eastAsia="Arial" w:hAnsi="Arial"/>
          <w:sz w:val="22"/>
          <w:szCs w:val="22"/>
          <w:color w:val="auto"/>
        </w:rPr>
        <w:t>A-10</w:t>
      </w:r>
    </w:p>
    <w:p>
      <w:pPr>
        <w:sectPr>
          <w:pgSz w:w="11900" w:h="16838" w:orient="portrait"/>
          <w:cols w:equalWidth="0" w:num="1">
            <w:col w:w="11140"/>
          </w:cols>
          <w:pgMar w:left="320" w:top="144" w:right="439" w:bottom="1440" w:gutter="0" w:footer="0" w:header="0"/>
        </w:sectPr>
      </w:pPr>
    </w:p>
    <w:bookmarkStart w:id="113" w:name="page114"/>
    <w:bookmarkEnd w:id="113"/>
    <w:p>
      <w:pPr>
        <w:jc w:val="center"/>
        <w:ind w:right="-79"/>
        <w:spacing w:after="0"/>
        <w:rPr>
          <w:sz w:val="20"/>
          <w:szCs w:val="20"/>
          <w:color w:val="auto"/>
        </w:rPr>
      </w:pPr>
      <w:r>
        <w:rPr>
          <w:rFonts w:ascii="Arial" w:cs="Arial" w:eastAsia="Arial" w:hAnsi="Arial"/>
          <w:sz w:val="14"/>
          <w:szCs w:val="14"/>
          <w:color w:val="auto"/>
        </w:rPr>
        <w:t>Internal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firstLine="648"/>
        <w:spacing w:after="0" w:line="366" w:lineRule="auto"/>
        <w:rPr>
          <w:sz w:val="20"/>
          <w:szCs w:val="20"/>
          <w:color w:val="auto"/>
        </w:rPr>
      </w:pPr>
      <w:r>
        <w:rPr>
          <w:rFonts w:ascii="Arial" w:cs="Arial" w:eastAsia="Arial" w:hAnsi="Arial"/>
          <w:sz w:val="21"/>
          <w:szCs w:val="21"/>
          <w:color w:val="auto"/>
        </w:rPr>
        <w:t>If any provision of the Plan is held unlawful or otherwise invalid or unenforceable in whole or in part, such unlawfulness, invalidity, or unenforceability shall not affect any other provision of the Plan or part thereof, each of which shall remain in full force and effect. If the making of any payment or the provision of any other benefit required under the Plan is held unlawful or otherwise invalid or unenforceable, such unlawfulness, invalidity or unenforceability shall not prevent any other payment or benefit from being made or provided under the Plan, and if the making of any payment in full or the provision of any other benefit required under the Plan in full would be unlawful or otherwise invalid or unenforceable, then such unlawfulness, invalidity, or unenforceability shall not prevent such payment or benefit from being made or provided in part, to the extent that it would not be unlawful, invalid, or unenforceable, and the maximum payment or benefit that would not be unlawful, invalid, or unenforceable shall be made or provided under the Plan.</w:t>
      </w:r>
    </w:p>
    <w:p>
      <w:pPr>
        <w:spacing w:after="0" w:line="203" w:lineRule="exact"/>
        <w:rPr>
          <w:sz w:val="20"/>
          <w:szCs w:val="20"/>
          <w:color w:val="auto"/>
        </w:rPr>
      </w:pPr>
    </w:p>
    <w:p>
      <w:pPr>
        <w:ind w:left="1300" w:hanging="644"/>
        <w:spacing w:after="0"/>
        <w:tabs>
          <w:tab w:leader="none" w:pos="1300" w:val="left"/>
        </w:tabs>
        <w:numPr>
          <w:ilvl w:val="0"/>
          <w:numId w:val="87"/>
        </w:numPr>
        <w:rPr>
          <w:rFonts w:ascii="Arial" w:cs="Arial" w:eastAsia="Arial" w:hAnsi="Arial"/>
          <w:sz w:val="22"/>
          <w:szCs w:val="22"/>
          <w:b w:val="1"/>
          <w:bCs w:val="1"/>
          <w:color w:val="010000"/>
        </w:rPr>
      </w:pPr>
      <w:r>
        <w:rPr>
          <w:rFonts w:ascii="Arial" w:cs="Arial" w:eastAsia="Arial" w:hAnsi="Arial"/>
          <w:sz w:val="22"/>
          <w:szCs w:val="22"/>
          <w:b w:val="1"/>
          <w:bCs w:val="1"/>
          <w:color w:val="auto"/>
        </w:rPr>
        <w:t>Governing Law</w:t>
      </w:r>
    </w:p>
    <w:p>
      <w:pPr>
        <w:spacing w:after="0" w:line="118" w:lineRule="exact"/>
        <w:rPr>
          <w:sz w:val="20"/>
          <w:szCs w:val="20"/>
          <w:color w:val="auto"/>
        </w:rPr>
      </w:pPr>
    </w:p>
    <w:p>
      <w:pPr>
        <w:ind w:right="20" w:firstLine="648"/>
        <w:spacing w:after="0" w:line="366" w:lineRule="auto"/>
        <w:rPr>
          <w:sz w:val="20"/>
          <w:szCs w:val="20"/>
          <w:color w:val="auto"/>
        </w:rPr>
      </w:pPr>
      <w:r>
        <w:rPr>
          <w:rFonts w:ascii="Arial" w:cs="Arial" w:eastAsia="Arial" w:hAnsi="Arial"/>
          <w:sz w:val="22"/>
          <w:szCs w:val="22"/>
          <w:color w:val="auto"/>
        </w:rPr>
        <w:t>The Plan and all determinations made and actions taken under the Plan shall be governed by and construed in accordance with the laws of the State of Connecticut.</w:t>
      </w:r>
    </w:p>
    <w:p>
      <w:pPr>
        <w:spacing w:after="0" w:line="200" w:lineRule="exact"/>
        <w:rPr>
          <w:sz w:val="20"/>
          <w:szCs w:val="20"/>
          <w:color w:val="auto"/>
        </w:rPr>
      </w:pPr>
    </w:p>
    <w:p>
      <w:pPr>
        <w:spacing w:after="0" w:line="372"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UNITED TECHNOLOGIES CORPORATION</w:t>
      </w:r>
    </w:p>
    <w:p>
      <w:pPr>
        <w:spacing w:after="0" w:line="200" w:lineRule="exact"/>
        <w:rPr>
          <w:sz w:val="20"/>
          <w:szCs w:val="20"/>
          <w:color w:val="auto"/>
        </w:rPr>
      </w:pPr>
    </w:p>
    <w:p>
      <w:pPr>
        <w:spacing w:after="0" w:line="24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-17780</wp:posOffset>
            </wp:positionV>
            <wp:extent cx="342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Attest: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00"/>
        <w:spacing w:after="0"/>
        <w:rPr>
          <w:sz w:val="20"/>
          <w:szCs w:val="20"/>
          <w:color w:val="auto"/>
        </w:rPr>
      </w:pPr>
      <w:r>
        <w:rPr>
          <w:rFonts w:ascii="Arial" w:cs="Arial" w:eastAsia="Arial" w:hAnsi="Arial"/>
          <w:sz w:val="22"/>
          <w:szCs w:val="22"/>
          <w:color w:val="auto"/>
        </w:rPr>
        <w:t>A-11</w:t>
      </w:r>
    </w:p>
    <w:p>
      <w:pPr>
        <w:sectPr>
          <w:pgSz w:w="11900" w:h="16838" w:orient="portrait"/>
          <w:cols w:equalWidth="0" w:num="1">
            <w:col w:w="11160"/>
          </w:cols>
          <w:pgMar w:left="320" w:top="144" w:right="41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4"/>
          <w:szCs w:val="14"/>
          <w:color w:val="auto"/>
        </w:rPr>
        <w:t>Internal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21E1F"/>
        </w:rPr>
        <w:t>United Technologies Corporation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21E1F"/>
        </w:rPr>
        <w:t>2018 Long-Term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221E1F"/>
        </w:rPr>
        <w:t>Restricted Stock Unit Award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221E1F"/>
        </w:rPr>
        <w:t>Schedule of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221E1F"/>
        </w:rPr>
        <w:t>(Rev. January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20"/>
        <w:spacing w:after="0" w:line="239" w:lineRule="auto"/>
        <w:rPr>
          <w:sz w:val="20"/>
          <w:szCs w:val="20"/>
          <w:color w:val="auto"/>
        </w:rPr>
      </w:pPr>
      <w:r>
        <w:rPr>
          <w:rFonts w:ascii="Arial" w:cs="Arial" w:eastAsia="Arial" w:hAnsi="Arial"/>
          <w:sz w:val="18"/>
          <w:szCs w:val="18"/>
          <w:color w:val="auto"/>
        </w:rPr>
        <w:t xml:space="preserve">This Schedule of Terms describes the material features of the Participant’s Restricted Stock Unit Award (the “RSU Award” or the “Award”) granted under the </w:t>
      </w:r>
      <w:r>
        <w:rPr>
          <w:rFonts w:ascii="Arial" w:cs="Arial" w:eastAsia="Arial" w:hAnsi="Arial"/>
          <w:sz w:val="19"/>
          <w:szCs w:val="19"/>
          <w:color w:val="auto"/>
        </w:rPr>
        <w:t>United Tech nologies</w:t>
      </w:r>
      <w:r>
        <w:rPr>
          <w:rFonts w:ascii="Arial" w:cs="Arial" w:eastAsia="Arial" w:hAnsi="Arial"/>
          <w:sz w:val="18"/>
          <w:szCs w:val="18"/>
          <w:color w:val="auto"/>
        </w:rPr>
        <w:t xml:space="preserve"> Corporation </w:t>
      </w:r>
      <w:r>
        <w:rPr>
          <w:rFonts w:ascii="Arial" w:cs="Arial" w:eastAsia="Arial" w:hAnsi="Arial"/>
          <w:sz w:val="19"/>
          <w:szCs w:val="19"/>
          <w:color w:val="auto"/>
        </w:rPr>
        <w:t>2018</w:t>
      </w:r>
      <w:r>
        <w:rPr>
          <w:rFonts w:ascii="Arial" w:cs="Arial" w:eastAsia="Arial" w:hAnsi="Arial"/>
          <w:sz w:val="18"/>
          <w:szCs w:val="18"/>
          <w:color w:val="auto"/>
        </w:rPr>
        <w:t xml:space="preserve"> Long-Term Incentive Plan (the “LTIP”), subject to this Schedule of Terms, the Award Agreement, and the terms and conditions set forth in the LTIP. The LTIP Prospectus contains further information about the LTIP and this Award and is available on the Company’s internal employee website and at www.ubs.com/onesource/utx.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44"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4"/>
          <w:szCs w:val="14"/>
          <w:color w:val="auto"/>
        </w:rPr>
        <w:t>Internal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Certain Definitions</w:t>
      </w:r>
    </w:p>
    <w:p>
      <w:pPr>
        <w:spacing w:after="0" w:line="213" w:lineRule="exact"/>
        <w:rPr>
          <w:sz w:val="20"/>
          <w:szCs w:val="20"/>
          <w:color w:val="auto"/>
        </w:rPr>
      </w:pPr>
    </w:p>
    <w:p>
      <w:pPr>
        <w:ind w:right="60"/>
        <w:spacing w:after="0" w:line="214" w:lineRule="auto"/>
        <w:rPr>
          <w:sz w:val="20"/>
          <w:szCs w:val="20"/>
          <w:color w:val="auto"/>
        </w:rPr>
      </w:pPr>
      <w:r>
        <w:rPr>
          <w:rFonts w:ascii="Arial" w:cs="Arial" w:eastAsia="Arial" w:hAnsi="Arial"/>
          <w:sz w:val="20"/>
          <w:szCs w:val="20"/>
          <w:color w:val="221E1F"/>
        </w:rPr>
        <w:t xml:space="preserve">A Restricted Stock Unit (an “RSU”) represents the right to receive one share of Common Stock of United Technologies </w:t>
      </w:r>
      <w:r>
        <w:rPr>
          <w:rFonts w:ascii="Arial" w:cs="Arial" w:eastAsia="Arial" w:hAnsi="Arial"/>
          <w:sz w:val="20"/>
          <w:szCs w:val="20"/>
          <w:color w:val="000000"/>
        </w:rPr>
        <w:t xml:space="preserve">Corporation </w:t>
      </w:r>
      <w:r>
        <w:rPr>
          <w:rFonts w:ascii="Arial" w:cs="Arial" w:eastAsia="Arial" w:hAnsi="Arial"/>
          <w:sz w:val="20"/>
          <w:szCs w:val="20"/>
          <w:color w:val="221E1F"/>
        </w:rPr>
        <w:t>(the “Common Stock”) (or a cash payment equal to the Fair Market Value thereof). RSUs generally vest and are</w:t>
      </w:r>
      <w:r>
        <w:rPr>
          <w:rFonts w:ascii="Arial" w:cs="Arial" w:eastAsia="Arial" w:hAnsi="Arial"/>
          <w:sz w:val="20"/>
          <w:szCs w:val="20"/>
          <w:color w:val="000000"/>
        </w:rPr>
        <w:t xml:space="preserve"> </w:t>
      </w:r>
      <w:r>
        <w:rPr>
          <w:rFonts w:ascii="Arial" w:cs="Arial" w:eastAsia="Arial" w:hAnsi="Arial"/>
          <w:sz w:val="20"/>
          <w:szCs w:val="20"/>
          <w:color w:val="221E1F"/>
        </w:rPr>
        <w:t xml:space="preserve">converted into shares of Common Stock if the Participant remains employed by the Company through the applicable vesting date schedule set forth on the Award Agreement (see “Vesting” below), or upon an earlier Termination of Service under limited circumstances that result in accelerated vesting (see “Termination of Service” below). </w:t>
      </w:r>
      <w:r>
        <w:rPr>
          <w:rFonts w:ascii="Arial" w:cs="Arial" w:eastAsia="Arial" w:hAnsi="Arial"/>
          <w:sz w:val="20"/>
          <w:szCs w:val="20"/>
          <w:color w:val="000000"/>
        </w:rPr>
        <w:t>“Company” means United Technologies</w:t>
      </w:r>
      <w:r>
        <w:rPr>
          <w:rFonts w:ascii="Arial" w:cs="Arial" w:eastAsia="Arial" w:hAnsi="Arial"/>
          <w:sz w:val="20"/>
          <w:szCs w:val="20"/>
          <w:color w:val="221E1F"/>
        </w:rPr>
        <w:t xml:space="preserve"> </w:t>
      </w:r>
      <w:r>
        <w:rPr>
          <w:rFonts w:ascii="Arial" w:cs="Arial" w:eastAsia="Arial" w:hAnsi="Arial"/>
          <w:sz w:val="20"/>
          <w:szCs w:val="20"/>
          <w:color w:val="000000"/>
        </w:rPr>
        <w:t xml:space="preserve">Corporation (the “Corporation” or “UTC”), together with its subsidiaries, divisions and affiliates. “Termination Date” means the date a Participant’s employment ends, or, if different, the date a Participant ceases providing services to the Company as an employee, consultant, or in any other capacity. For the avoidance of doubt, absences from employment by reason of notice periods, garden leaves, or similar paid leaves associated with a Termination of Service shall not be recognized as service in determining the Termination Date. All references to termination of employment in this Schedule of Terms will be deemed to refer to “Termination of Service” as defined in the LTIP. “Committee” means </w:t>
      </w:r>
      <w:r>
        <w:rPr>
          <w:rFonts w:ascii="Arial" w:cs="Arial" w:eastAsia="Arial" w:hAnsi="Arial"/>
          <w:sz w:val="20"/>
          <w:szCs w:val="20"/>
          <w:color w:val="221E1F"/>
        </w:rPr>
        <w:t>the Compensation Committee of the Board.</w:t>
      </w:r>
      <w:r>
        <w:rPr>
          <w:rFonts w:ascii="Arial" w:cs="Arial" w:eastAsia="Arial" w:hAnsi="Arial"/>
          <w:sz w:val="20"/>
          <w:szCs w:val="20"/>
          <w:color w:val="000000"/>
        </w:rPr>
        <w:t xml:space="preserve"> Capitalized terms not otherwise defined in this Schedule of Terms have the same meaning as defined in the LTIP.</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Acknowledgement and Acceptance of Award</w:t>
      </w:r>
    </w:p>
    <w:p>
      <w:pPr>
        <w:spacing w:after="0" w:line="213" w:lineRule="exact"/>
        <w:rPr>
          <w:sz w:val="20"/>
          <w:szCs w:val="20"/>
          <w:color w:val="auto"/>
        </w:rPr>
      </w:pPr>
    </w:p>
    <w:p>
      <w:pPr>
        <w:ind w:right="180"/>
        <w:spacing w:after="0" w:line="220" w:lineRule="auto"/>
        <w:rPr>
          <w:sz w:val="20"/>
          <w:szCs w:val="20"/>
          <w:color w:val="auto"/>
        </w:rPr>
      </w:pPr>
      <w:r>
        <w:rPr>
          <w:rFonts w:ascii="Arial" w:cs="Arial" w:eastAsia="Arial" w:hAnsi="Arial"/>
          <w:sz w:val="20"/>
          <w:szCs w:val="20"/>
          <w:color w:val="auto"/>
        </w:rPr>
        <w:t>The number of RSUs awarded is set forth in the Award Agreement. An LTIP Award recipient (a “Participant”) must affirmatively acknowledge and accept the terms and conditions of the RSU Award within 150 days following the Grant Date. A failure to acknowledge and accept the RSU Award within such 150-day period may result in forfeiture of the RSU Award, effective as of the 150th day following the Grant Date.</w:t>
      </w:r>
    </w:p>
    <w:p>
      <w:pPr>
        <w:spacing w:after="0" w:line="163" w:lineRule="exact"/>
        <w:rPr>
          <w:sz w:val="20"/>
          <w:szCs w:val="20"/>
          <w:color w:val="auto"/>
        </w:rPr>
      </w:pPr>
    </w:p>
    <w:p>
      <w:pPr>
        <w:ind w:right="40"/>
        <w:spacing w:after="0" w:line="225" w:lineRule="auto"/>
        <w:rPr>
          <w:sz w:val="20"/>
          <w:szCs w:val="20"/>
          <w:color w:val="auto"/>
        </w:rPr>
      </w:pPr>
      <w:r>
        <w:rPr>
          <w:rFonts w:ascii="Arial" w:cs="Arial" w:eastAsia="Arial" w:hAnsi="Arial"/>
          <w:sz w:val="20"/>
          <w:szCs w:val="20"/>
          <w:color w:val="auto"/>
        </w:rPr>
        <w:t xml:space="preserve">Participants must acknowledge and accept the terms and conditions of this RSU Award electronically via the UBS </w:t>
      </w:r>
      <w:r>
        <w:rPr>
          <w:rFonts w:ascii="Arial" w:cs="Arial" w:eastAsia="Arial" w:hAnsi="Arial"/>
          <w:sz w:val="20"/>
          <w:szCs w:val="20"/>
          <w:i w:val="1"/>
          <w:iCs w:val="1"/>
          <w:color w:val="auto"/>
        </w:rPr>
        <w:t>One Source</w:t>
      </w:r>
      <w:r>
        <w:rPr>
          <w:rFonts w:ascii="Arial" w:cs="Arial" w:eastAsia="Arial" w:hAnsi="Arial"/>
          <w:sz w:val="20"/>
          <w:szCs w:val="20"/>
          <w:color w:val="auto"/>
        </w:rPr>
        <w:t xml:space="preserve"> website at www.ubs.com/onesource/utx. Participants based in certain countries may be required to acknowledge and accept the terms and conditions of this RSU Award by signing and returning the designated hard copy portion of the Award Agreement to the Stock Plan Administrator. </w:t>
      </w:r>
      <w:r>
        <w:rPr>
          <w:rFonts w:ascii="Arial" w:cs="Arial" w:eastAsia="Arial" w:hAnsi="Arial"/>
          <w:sz w:val="20"/>
          <w:szCs w:val="20"/>
          <w:color w:val="221E1F"/>
        </w:rPr>
        <w:t>These countries currently include Russia, Turkey, Hungary, and Slovenia.</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Dividends</w:t>
      </w:r>
    </w:p>
    <w:p>
      <w:pPr>
        <w:spacing w:after="0" w:line="213" w:lineRule="exact"/>
        <w:rPr>
          <w:sz w:val="20"/>
          <w:szCs w:val="20"/>
          <w:color w:val="auto"/>
        </w:rPr>
      </w:pPr>
    </w:p>
    <w:p>
      <w:pPr>
        <w:ind w:right="140"/>
        <w:spacing w:after="0" w:line="217" w:lineRule="auto"/>
        <w:rPr>
          <w:sz w:val="20"/>
          <w:szCs w:val="20"/>
          <w:color w:val="auto"/>
        </w:rPr>
      </w:pPr>
      <w:r>
        <w:rPr>
          <w:rFonts w:ascii="Arial" w:cs="Arial" w:eastAsia="Arial" w:hAnsi="Arial"/>
          <w:sz w:val="20"/>
          <w:szCs w:val="20"/>
          <w:color w:val="221E1F"/>
        </w:rPr>
        <w:t>RSUs granted under this Award will earn dividend equivalent units each time the Corporation pays a cash dividend to Common Stock shareholders of record. Dividend equivalents will be credited as additional RSUs to Awards outstanding on the dividend payment date and will vest on the same date as the underlying RSUs. The number of additional RSUs that will be credited on any dividend payment date will equal (1) the per share cash dividend amount, multiplied by (2) the number of RSUs subject to the RSU Award (including RSUs resulting from prior dividend equivalents), divided by (3) the Fair Market Value of a share of Common Stock on the dividend payment date, rounded down to the nearest whole number of RSUs.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Vesting</w:t>
      </w:r>
    </w:p>
    <w:p>
      <w:pPr>
        <w:spacing w:after="0" w:line="213" w:lineRule="exact"/>
        <w:rPr>
          <w:sz w:val="20"/>
          <w:szCs w:val="20"/>
          <w:color w:val="auto"/>
        </w:rPr>
      </w:pPr>
    </w:p>
    <w:p>
      <w:pPr>
        <w:ind w:right="440"/>
        <w:spacing w:after="0" w:line="220" w:lineRule="auto"/>
        <w:rPr>
          <w:sz w:val="20"/>
          <w:szCs w:val="20"/>
          <w:color w:val="auto"/>
        </w:rPr>
      </w:pPr>
      <w:r>
        <w:rPr>
          <w:rFonts w:ascii="Arial" w:cs="Arial" w:eastAsia="Arial" w:hAnsi="Arial"/>
          <w:sz w:val="20"/>
          <w:szCs w:val="20"/>
          <w:color w:val="221E1F"/>
        </w:rPr>
        <w:t>RSUs will vest in accordance with the schedule set forth in the Award Agreement, subject to the Participant’s continued employment with the Company through each applicable vesting date. RSUs will be forfeited in the event of Termination of Service prior to the vesting date, except in certain earlier terminations involving Retirement, Involuntary Termination (Not for Cause), Disability, Change-in-Control Termination, or Death (see “Termination of Service”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144"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4"/>
          <w:szCs w:val="14"/>
          <w:color w:val="auto"/>
        </w:rPr>
        <w:t>Internal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60"/>
        <w:spacing w:after="0" w:line="229" w:lineRule="auto"/>
        <w:rPr>
          <w:sz w:val="20"/>
          <w:szCs w:val="20"/>
          <w:color w:val="auto"/>
        </w:rPr>
      </w:pPr>
      <w:r>
        <w:rPr>
          <w:rFonts w:ascii="Arial" w:cs="Arial" w:eastAsia="Arial" w:hAnsi="Arial"/>
          <w:sz w:val="20"/>
          <w:szCs w:val="20"/>
          <w:color w:val="auto"/>
        </w:rPr>
        <w:t>RSUs may also be forfeited and value realized from previously vested RSUs may be recouped by the Company under certain circumstances (see “Forfeiture of Award and Repayment of Realized Gains” below).</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No Shareowner Rights</w:t>
      </w:r>
    </w:p>
    <w:p>
      <w:pPr>
        <w:spacing w:after="0" w:line="213" w:lineRule="exact"/>
        <w:rPr>
          <w:sz w:val="20"/>
          <w:szCs w:val="20"/>
          <w:color w:val="auto"/>
        </w:rPr>
      </w:pPr>
    </w:p>
    <w:p>
      <w:pPr>
        <w:ind w:right="240"/>
        <w:spacing w:after="0" w:line="223" w:lineRule="auto"/>
        <w:rPr>
          <w:sz w:val="20"/>
          <w:szCs w:val="20"/>
          <w:color w:val="auto"/>
        </w:rPr>
      </w:pPr>
      <w:r>
        <w:rPr>
          <w:rFonts w:ascii="Arial" w:cs="Arial" w:eastAsia="Arial" w:hAnsi="Arial"/>
          <w:sz w:val="20"/>
          <w:szCs w:val="20"/>
          <w:color w:val="221E1F"/>
        </w:rPr>
        <w:t>An RSU is the right to receive a share of Common Stock in the future (or a cash payment equal to the Fair Market Value), subject to continued employment and certain other conditions. The holder of an RSU has no voting or other rights accorded to owners of Common Stock, unless and until RSUs are converted into shares of Common Stock.</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Payment / Conversion of RSUs</w:t>
      </w:r>
    </w:p>
    <w:p>
      <w:pPr>
        <w:spacing w:after="0" w:line="213" w:lineRule="exact"/>
        <w:rPr>
          <w:sz w:val="20"/>
          <w:szCs w:val="20"/>
          <w:color w:val="auto"/>
        </w:rPr>
      </w:pPr>
    </w:p>
    <w:p>
      <w:pPr>
        <w:ind w:right="120"/>
        <w:spacing w:after="0" w:line="223" w:lineRule="auto"/>
        <w:rPr>
          <w:sz w:val="20"/>
          <w:szCs w:val="20"/>
          <w:color w:val="auto"/>
        </w:rPr>
      </w:pPr>
      <w:r>
        <w:rPr>
          <w:rFonts w:ascii="Arial" w:cs="Arial" w:eastAsia="Arial" w:hAnsi="Arial"/>
          <w:sz w:val="20"/>
          <w:szCs w:val="20"/>
          <w:color w:val="221E1F"/>
        </w:rPr>
        <w:t>Vested RSUs will be converted into shares of Common Stock to be delivered to the Participant as soon as administratively practicable following the vesting date. RSUs may instead be paid in cash if the Committee so determines, including where local law restricts the distribution of Common Stock.</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Termination of Service</w:t>
      </w:r>
    </w:p>
    <w:p>
      <w:pPr>
        <w:spacing w:after="0" w:line="213" w:lineRule="exact"/>
        <w:rPr>
          <w:sz w:val="20"/>
          <w:szCs w:val="20"/>
          <w:color w:val="auto"/>
        </w:rPr>
      </w:pPr>
    </w:p>
    <w:p>
      <w:pPr>
        <w:spacing w:after="0" w:line="223" w:lineRule="auto"/>
        <w:rPr>
          <w:sz w:val="20"/>
          <w:szCs w:val="20"/>
          <w:color w:val="auto"/>
        </w:rPr>
      </w:pPr>
      <w:r>
        <w:rPr>
          <w:rFonts w:ascii="Arial" w:cs="Arial" w:eastAsia="Arial" w:hAnsi="Arial"/>
          <w:sz w:val="20"/>
          <w:szCs w:val="20"/>
          <w:color w:val="221E1F"/>
        </w:rPr>
        <w:t>The treatment of RSUs upon Termination of Service depends upon the reason for termination, as detailed in the following sections. RSUs held for less than one year as of the Termination Date will be forfeited, except in the event of Death, Disability, or Change-in-Control Termination, as discussed below.</w:t>
      </w:r>
    </w:p>
    <w:p>
      <w:pPr>
        <w:spacing w:after="0" w:line="196" w:lineRule="exact"/>
        <w:rPr>
          <w:sz w:val="20"/>
          <w:szCs w:val="20"/>
          <w:color w:val="auto"/>
        </w:rPr>
      </w:pPr>
    </w:p>
    <w:p>
      <w:pPr>
        <w:ind w:right="280"/>
        <w:spacing w:after="0" w:line="246" w:lineRule="auto"/>
        <w:rPr>
          <w:sz w:val="20"/>
          <w:szCs w:val="20"/>
          <w:color w:val="auto"/>
        </w:rPr>
      </w:pPr>
      <w:r>
        <w:rPr>
          <w:rFonts w:ascii="Arial" w:cs="Arial" w:eastAsia="Arial" w:hAnsi="Arial"/>
          <w:sz w:val="20"/>
          <w:szCs w:val="20"/>
          <w:color w:val="221E1F"/>
        </w:rPr>
        <w:t>Absences from employment because of notice periods, garden leaves, or similar paid leaves associated with a Termination of Service will not be recognized as service in determining the Termination Date.</w:t>
      </w:r>
    </w:p>
    <w:p>
      <w:pPr>
        <w:spacing w:after="0" w:line="166" w:lineRule="exact"/>
        <w:rPr>
          <w:sz w:val="20"/>
          <w:szCs w:val="20"/>
          <w:color w:val="auto"/>
        </w:rPr>
      </w:pPr>
    </w:p>
    <w:p>
      <w:pPr>
        <w:ind w:right="240"/>
        <w:spacing w:after="0" w:line="226" w:lineRule="auto"/>
        <w:rPr>
          <w:sz w:val="20"/>
          <w:szCs w:val="20"/>
          <w:color w:val="auto"/>
        </w:rPr>
      </w:pPr>
      <w:r>
        <w:rPr>
          <w:rFonts w:ascii="Arial" w:cs="Arial" w:eastAsia="Arial" w:hAnsi="Arial"/>
          <w:sz w:val="20"/>
          <w:szCs w:val="20"/>
          <w:b w:val="1"/>
          <w:bCs w:val="1"/>
          <w:color w:val="221E1F"/>
        </w:rPr>
        <w:t xml:space="preserve">Retirement. </w:t>
      </w:r>
      <w:r>
        <w:rPr>
          <w:rFonts w:ascii="Arial" w:cs="Arial" w:eastAsia="Arial" w:hAnsi="Arial"/>
          <w:sz w:val="20"/>
          <w:szCs w:val="20"/>
          <w:color w:val="221E1F"/>
        </w:rPr>
        <w:t>If the Participant’s termination results from Retirement, unvested RSUs held for at least one year as of the</w:t>
      </w:r>
      <w:r>
        <w:rPr>
          <w:rFonts w:ascii="Arial" w:cs="Arial" w:eastAsia="Arial" w:hAnsi="Arial"/>
          <w:sz w:val="20"/>
          <w:szCs w:val="20"/>
          <w:b w:val="1"/>
          <w:bCs w:val="1"/>
          <w:color w:val="221E1F"/>
        </w:rPr>
        <w:t xml:space="preserve"> </w:t>
      </w:r>
      <w:r>
        <w:rPr>
          <w:rFonts w:ascii="Arial" w:cs="Arial" w:eastAsia="Arial" w:hAnsi="Arial"/>
          <w:sz w:val="20"/>
          <w:szCs w:val="20"/>
          <w:color w:val="221E1F"/>
        </w:rPr>
        <w:t>Termination Date will vest and convert into shares of Common Stock (or cash) to be delivered to the Participant as soon as administratively practicable thereafter. For this purpose, Retirement means either a Normal Retirement or Early Retirement as defined below:</w:t>
      </w:r>
    </w:p>
    <w:p>
      <w:pPr>
        <w:spacing w:after="0" w:line="184" w:lineRule="exact"/>
        <w:rPr>
          <w:sz w:val="20"/>
          <w:szCs w:val="20"/>
          <w:color w:val="auto"/>
        </w:rPr>
      </w:pPr>
    </w:p>
    <w:p>
      <w:pPr>
        <w:ind w:left="640" w:hanging="308"/>
        <w:spacing w:after="0"/>
        <w:tabs>
          <w:tab w:leader="none" w:pos="640" w:val="left"/>
        </w:tabs>
        <w:numPr>
          <w:ilvl w:val="0"/>
          <w:numId w:val="88"/>
        </w:numPr>
        <w:rPr>
          <w:rFonts w:ascii="Arial" w:cs="Arial" w:eastAsia="Arial" w:hAnsi="Arial"/>
          <w:sz w:val="20"/>
          <w:szCs w:val="20"/>
          <w:color w:val="221E1F"/>
        </w:rPr>
      </w:pPr>
      <w:r>
        <w:rPr>
          <w:rFonts w:ascii="Arial" w:cs="Arial" w:eastAsia="Arial" w:hAnsi="Arial"/>
          <w:sz w:val="20"/>
          <w:szCs w:val="20"/>
          <w:color w:val="221E1F"/>
        </w:rPr>
        <w:t>“Normal Retirement” means retirement on or after age 65;</w:t>
      </w:r>
    </w:p>
    <w:p>
      <w:pPr>
        <w:spacing w:after="0" w:line="188" w:lineRule="exact"/>
        <w:rPr>
          <w:rFonts w:ascii="Arial" w:cs="Arial" w:eastAsia="Arial" w:hAnsi="Arial"/>
          <w:sz w:val="20"/>
          <w:szCs w:val="20"/>
          <w:color w:val="221E1F"/>
        </w:rPr>
      </w:pPr>
    </w:p>
    <w:p>
      <w:pPr>
        <w:ind w:left="700" w:hanging="368"/>
        <w:spacing w:after="0"/>
        <w:tabs>
          <w:tab w:leader="none" w:pos="700" w:val="left"/>
        </w:tabs>
        <w:numPr>
          <w:ilvl w:val="0"/>
          <w:numId w:val="88"/>
        </w:numPr>
        <w:rPr>
          <w:rFonts w:ascii="Arial" w:cs="Arial" w:eastAsia="Arial" w:hAnsi="Arial"/>
          <w:sz w:val="20"/>
          <w:szCs w:val="20"/>
          <w:color w:val="221E1F"/>
        </w:rPr>
      </w:pPr>
      <w:r>
        <w:rPr>
          <w:rFonts w:ascii="Arial" w:cs="Arial" w:eastAsia="Arial" w:hAnsi="Arial"/>
          <w:sz w:val="20"/>
          <w:szCs w:val="20"/>
          <w:color w:val="221E1F"/>
        </w:rPr>
        <w:t>“Early Retirement” means retirement on or after:</w:t>
      </w:r>
    </w:p>
    <w:p>
      <w:pPr>
        <w:spacing w:after="0" w:line="188" w:lineRule="exact"/>
        <w:rPr>
          <w:rFonts w:ascii="Arial" w:cs="Arial" w:eastAsia="Arial" w:hAnsi="Arial"/>
          <w:sz w:val="20"/>
          <w:szCs w:val="20"/>
          <w:color w:val="221E1F"/>
        </w:rPr>
      </w:pPr>
    </w:p>
    <w:p>
      <w:pPr>
        <w:ind w:left="1300" w:hanging="320"/>
        <w:spacing w:after="0"/>
        <w:tabs>
          <w:tab w:leader="none" w:pos="1300" w:val="left"/>
        </w:tabs>
        <w:numPr>
          <w:ilvl w:val="1"/>
          <w:numId w:val="88"/>
        </w:numPr>
        <w:rPr>
          <w:rFonts w:ascii="Arial" w:cs="Arial" w:eastAsia="Arial" w:hAnsi="Arial"/>
          <w:sz w:val="20"/>
          <w:szCs w:val="20"/>
          <w:color w:val="221E1F"/>
        </w:rPr>
      </w:pPr>
      <w:r>
        <w:rPr>
          <w:rFonts w:ascii="Arial" w:cs="Arial" w:eastAsia="Arial" w:hAnsi="Arial"/>
          <w:sz w:val="20"/>
          <w:szCs w:val="20"/>
          <w:color w:val="221E1F"/>
        </w:rPr>
        <w:t>Age 55 with 10 or more years of continuous service as of the Termination Date; or</w:t>
      </w:r>
    </w:p>
    <w:p>
      <w:pPr>
        <w:spacing w:after="0" w:line="188" w:lineRule="exact"/>
        <w:rPr>
          <w:rFonts w:ascii="Arial" w:cs="Arial" w:eastAsia="Arial" w:hAnsi="Arial"/>
          <w:sz w:val="20"/>
          <w:szCs w:val="20"/>
          <w:color w:val="221E1F"/>
        </w:rPr>
      </w:pPr>
    </w:p>
    <w:p>
      <w:pPr>
        <w:ind w:left="1300" w:right="180" w:hanging="320"/>
        <w:spacing w:after="0" w:line="229" w:lineRule="auto"/>
        <w:tabs>
          <w:tab w:leader="none" w:pos="1289" w:val="left"/>
        </w:tabs>
        <w:numPr>
          <w:ilvl w:val="1"/>
          <w:numId w:val="88"/>
        </w:numPr>
        <w:rPr>
          <w:rFonts w:ascii="Arial" w:cs="Arial" w:eastAsia="Arial" w:hAnsi="Arial"/>
          <w:sz w:val="20"/>
          <w:szCs w:val="20"/>
          <w:color w:val="221E1F"/>
        </w:rPr>
      </w:pPr>
      <w:r>
        <w:rPr>
          <w:rFonts w:ascii="Arial" w:cs="Arial" w:eastAsia="Arial" w:hAnsi="Arial"/>
          <w:sz w:val="20"/>
          <w:szCs w:val="20"/>
          <w:color w:val="221E1F"/>
        </w:rPr>
        <w:t>Age 50, but before age 55, and the Participant’s age and continuous service as of the Termination Date adds up to 65 or more (“Rule of 65”).</w:t>
      </w:r>
    </w:p>
    <w:p>
      <w:pPr>
        <w:spacing w:after="0" w:line="182" w:lineRule="exact"/>
        <w:rPr>
          <w:sz w:val="20"/>
          <w:szCs w:val="20"/>
          <w:color w:val="auto"/>
        </w:rPr>
      </w:pPr>
    </w:p>
    <w:p>
      <w:pPr>
        <w:ind w:right="580"/>
        <w:spacing w:after="0" w:line="229" w:lineRule="auto"/>
        <w:rPr>
          <w:sz w:val="20"/>
          <w:szCs w:val="20"/>
          <w:color w:val="auto"/>
        </w:rPr>
      </w:pPr>
      <w:r>
        <w:rPr>
          <w:rFonts w:ascii="Arial" w:cs="Arial" w:eastAsia="Arial" w:hAnsi="Arial"/>
          <w:sz w:val="20"/>
          <w:szCs w:val="20"/>
          <w:color w:val="221E1F"/>
        </w:rPr>
        <w:t>A Participant will not receive Retirement treatment with respect to any Award in the event of involuntary termination by the Company for Cause.</w:t>
      </w:r>
    </w:p>
    <w:p>
      <w:pPr>
        <w:spacing w:after="0" w:line="196" w:lineRule="exact"/>
        <w:rPr>
          <w:sz w:val="20"/>
          <w:szCs w:val="20"/>
          <w:color w:val="auto"/>
        </w:rPr>
      </w:pPr>
    </w:p>
    <w:p>
      <w:pPr>
        <w:ind w:right="180"/>
        <w:spacing w:after="0" w:line="243" w:lineRule="auto"/>
        <w:rPr>
          <w:sz w:val="20"/>
          <w:szCs w:val="20"/>
          <w:color w:val="auto"/>
        </w:rPr>
      </w:pPr>
      <w:r>
        <w:rPr>
          <w:rFonts w:ascii="Arial" w:cs="Arial" w:eastAsia="Arial" w:hAnsi="Arial"/>
          <w:sz w:val="20"/>
          <w:szCs w:val="20"/>
          <w:color w:val="auto"/>
        </w:rPr>
        <w:t>Service used to determine eligibility for Normal or Early Retirement means “Continuous Service” as determined under the UTC Employee Retire ment Plan. The calculation to determine Early Retirement will include partial years, rounded down to the nearest full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144"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4"/>
          <w:szCs w:val="14"/>
          <w:color w:val="auto"/>
        </w:rPr>
        <w:t>Internal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b w:val="1"/>
          <w:bCs w:val="1"/>
          <w:color w:val="auto"/>
        </w:rPr>
        <w:t xml:space="preserve">Involuntary Termination for Cause. </w:t>
      </w:r>
      <w:r>
        <w:rPr>
          <w:rFonts w:ascii="Arial" w:cs="Arial" w:eastAsia="Arial" w:hAnsi="Arial"/>
          <w:sz w:val="20"/>
          <w:szCs w:val="20"/>
          <w:color w:val="auto"/>
        </w:rPr>
        <w:t>If the Participant’s termination results from an involuntary termination by the Company for</w:t>
      </w:r>
      <w:r>
        <w:rPr>
          <w:rFonts w:ascii="Arial" w:cs="Arial" w:eastAsia="Arial" w:hAnsi="Arial"/>
          <w:sz w:val="20"/>
          <w:szCs w:val="20"/>
          <w:b w:val="1"/>
          <w:bCs w:val="1"/>
          <w:color w:val="auto"/>
        </w:rPr>
        <w:t xml:space="preserve"> </w:t>
      </w:r>
      <w:r>
        <w:rPr>
          <w:rFonts w:ascii="Arial" w:cs="Arial" w:eastAsia="Arial" w:hAnsi="Arial"/>
          <w:sz w:val="20"/>
          <w:szCs w:val="20"/>
          <w:color w:val="auto"/>
        </w:rPr>
        <w:t>Cause (as defined in the LTIP), unvested RSUs will be forfeited as of the Termi nation Date regardless of the Participant’s Retirement eligibility. In addition, value realized from previously vested RSUs is subject to repayment in the event of termination for Cause or certain other occurrences (see “Forfeiture of Award and Repayment of Realized Gains” below).</w:t>
      </w:r>
    </w:p>
    <w:p>
      <w:pPr>
        <w:spacing w:after="0" w:line="203" w:lineRule="exact"/>
        <w:rPr>
          <w:sz w:val="20"/>
          <w:szCs w:val="20"/>
          <w:color w:val="auto"/>
        </w:rPr>
      </w:pPr>
    </w:p>
    <w:p>
      <w:pPr>
        <w:ind w:right="60"/>
        <w:spacing w:after="0" w:line="245" w:lineRule="auto"/>
        <w:rPr>
          <w:sz w:val="20"/>
          <w:szCs w:val="20"/>
          <w:color w:val="auto"/>
        </w:rPr>
      </w:pPr>
      <w:r>
        <w:rPr>
          <w:rFonts w:ascii="Arial" w:cs="Arial" w:eastAsia="Arial" w:hAnsi="Arial"/>
          <w:sz w:val="20"/>
          <w:szCs w:val="20"/>
          <w:b w:val="1"/>
          <w:bCs w:val="1"/>
          <w:color w:val="221E1F"/>
        </w:rPr>
        <w:t xml:space="preserve">Involuntary Termination. </w:t>
      </w:r>
      <w:r>
        <w:rPr>
          <w:rFonts w:ascii="Arial" w:cs="Arial" w:eastAsia="Arial" w:hAnsi="Arial"/>
          <w:sz w:val="20"/>
          <w:szCs w:val="20"/>
          <w:color w:val="221E1F"/>
        </w:rPr>
        <w:t>If the Participant’s termination results from an involuntary termination by the Company for reasons</w:t>
      </w:r>
      <w:r>
        <w:rPr>
          <w:rFonts w:ascii="Arial" w:cs="Arial" w:eastAsia="Arial" w:hAnsi="Arial"/>
          <w:sz w:val="20"/>
          <w:szCs w:val="20"/>
          <w:b w:val="1"/>
          <w:bCs w:val="1"/>
          <w:color w:val="221E1F"/>
        </w:rPr>
        <w:t xml:space="preserve"> </w:t>
      </w:r>
      <w:r>
        <w:rPr>
          <w:rFonts w:ascii="Arial" w:cs="Arial" w:eastAsia="Arial" w:hAnsi="Arial"/>
          <w:sz w:val="20"/>
          <w:szCs w:val="20"/>
          <w:color w:val="221E1F"/>
        </w:rPr>
        <w:t xml:space="preserve">other than Cause, unvested RSUs held for at least one year as of the Termination Date will receive pro-rata vesting treatment, subject to the Participant providing the Company with a release of claims against the Company in a form and manner satisfactory to the Company. The pro-rata vesting of an RSU Award held for at least one year will be based on the number of months worked during the vesting period, including partial months, relative to the full vesting period. RSUs not vested under this pro-rata vesting formula will be forfeited </w:t>
      </w:r>
      <w:r>
        <w:rPr>
          <w:rFonts w:ascii="Arial" w:cs="Arial" w:eastAsia="Arial" w:hAnsi="Arial"/>
          <w:sz w:val="20"/>
          <w:szCs w:val="20"/>
          <w:color w:val="000000"/>
        </w:rPr>
        <w:t>as of the</w:t>
      </w:r>
      <w:r>
        <w:rPr>
          <w:rFonts w:ascii="Arial" w:cs="Arial" w:eastAsia="Arial" w:hAnsi="Arial"/>
          <w:sz w:val="20"/>
          <w:szCs w:val="20"/>
          <w:color w:val="221E1F"/>
        </w:rPr>
        <w:t xml:space="preserve"> Termination </w:t>
      </w:r>
      <w:r>
        <w:rPr>
          <w:rFonts w:ascii="Arial" w:cs="Arial" w:eastAsia="Arial" w:hAnsi="Arial"/>
          <w:sz w:val="20"/>
          <w:szCs w:val="20"/>
          <w:color w:val="000000"/>
        </w:rPr>
        <w:t>Date</w:t>
      </w:r>
      <w:r>
        <w:rPr>
          <w:rFonts w:ascii="Arial" w:cs="Arial" w:eastAsia="Arial" w:hAnsi="Arial"/>
          <w:sz w:val="20"/>
          <w:szCs w:val="20"/>
          <w:color w:val="221E1F"/>
        </w:rPr>
        <w:t>.</w:t>
      </w:r>
    </w:p>
    <w:p>
      <w:pPr>
        <w:spacing w:after="0" w:line="235" w:lineRule="exact"/>
        <w:rPr>
          <w:sz w:val="20"/>
          <w:szCs w:val="20"/>
          <w:color w:val="auto"/>
        </w:rPr>
      </w:pPr>
    </w:p>
    <w:p>
      <w:pPr>
        <w:ind w:right="280"/>
        <w:spacing w:after="0" w:line="246" w:lineRule="auto"/>
        <w:rPr>
          <w:sz w:val="20"/>
          <w:szCs w:val="20"/>
          <w:color w:val="auto"/>
        </w:rPr>
      </w:pPr>
      <w:r>
        <w:rPr>
          <w:rFonts w:ascii="Arial" w:cs="Arial" w:eastAsia="Arial" w:hAnsi="Arial"/>
          <w:sz w:val="20"/>
          <w:szCs w:val="20"/>
          <w:color w:val="auto"/>
        </w:rPr>
        <w:t>Absences from employment because of notice periods, garden leaves, or similar paid leaves associated with a Termination of Service will not be recognized as service in determining the pro-rata vesting percentage.</w:t>
      </w:r>
    </w:p>
    <w:p>
      <w:pPr>
        <w:spacing w:after="0" w:line="217" w:lineRule="exact"/>
        <w:rPr>
          <w:sz w:val="20"/>
          <w:szCs w:val="20"/>
          <w:color w:val="auto"/>
        </w:rPr>
      </w:pPr>
    </w:p>
    <w:p>
      <w:pPr>
        <w:ind w:right="480"/>
        <w:spacing w:after="0" w:line="229" w:lineRule="auto"/>
        <w:rPr>
          <w:sz w:val="20"/>
          <w:szCs w:val="20"/>
          <w:color w:val="auto"/>
        </w:rPr>
      </w:pPr>
      <w:r>
        <w:rPr>
          <w:rFonts w:ascii="Arial" w:cs="Arial" w:eastAsia="Arial" w:hAnsi="Arial"/>
          <w:sz w:val="20"/>
          <w:szCs w:val="20"/>
          <w:color w:val="auto"/>
        </w:rPr>
        <w:t>Pro-rata vesting will occur for involuntary terminations resulting from workforce reductions, location closings, restructurings, layoffs</w:t>
      </w:r>
      <w:r>
        <w:rPr>
          <w:rFonts w:ascii="Arial" w:cs="Arial" w:eastAsia="Arial" w:hAnsi="Arial"/>
          <w:sz w:val="20"/>
          <w:szCs w:val="20"/>
          <w:color w:val="221E1F"/>
        </w:rPr>
        <w:t>,</w:t>
      </w:r>
      <w:r>
        <w:rPr>
          <w:rFonts w:ascii="Arial" w:cs="Arial" w:eastAsia="Arial" w:hAnsi="Arial"/>
          <w:sz w:val="20"/>
          <w:szCs w:val="20"/>
          <w:color w:val="auto"/>
        </w:rPr>
        <w:t xml:space="preserve"> or similar events, as determined by the Committee.</w:t>
      </w:r>
    </w:p>
    <w:p>
      <w:pPr>
        <w:spacing w:after="0" w:line="196" w:lineRule="exact"/>
        <w:rPr>
          <w:sz w:val="20"/>
          <w:szCs w:val="20"/>
          <w:color w:val="auto"/>
        </w:rPr>
      </w:pPr>
    </w:p>
    <w:p>
      <w:pPr>
        <w:jc w:val="both"/>
        <w:ind w:right="680"/>
        <w:spacing w:after="0" w:line="234" w:lineRule="auto"/>
        <w:rPr>
          <w:sz w:val="20"/>
          <w:szCs w:val="20"/>
          <w:color w:val="auto"/>
        </w:rPr>
      </w:pPr>
      <w:r>
        <w:rPr>
          <w:rFonts w:ascii="Arial" w:cs="Arial" w:eastAsia="Arial" w:hAnsi="Arial"/>
          <w:sz w:val="20"/>
          <w:szCs w:val="20"/>
          <w:color w:val="auto"/>
        </w:rPr>
        <w:t>Retirement eligible Participants will vest in accordance with the Retirement provisions set forth above. Change-in-Control Terminations are subject to vesting treatment as set forth in the Change-in-Control provisions below. A Participant who is involuntarily terminated for Cause is not eligible for pro-rata vesting of Awards.</w:t>
      </w:r>
    </w:p>
    <w:p>
      <w:pPr>
        <w:spacing w:after="0" w:line="2" w:lineRule="exact"/>
        <w:rPr>
          <w:sz w:val="20"/>
          <w:szCs w:val="20"/>
          <w:color w:val="auto"/>
        </w:rPr>
      </w:pPr>
    </w:p>
    <w:p>
      <w:pPr>
        <w:ind w:right="60"/>
        <w:spacing w:after="0" w:line="229" w:lineRule="auto"/>
        <w:rPr>
          <w:sz w:val="20"/>
          <w:szCs w:val="20"/>
          <w:color w:val="auto"/>
        </w:rPr>
      </w:pPr>
      <w:r>
        <w:rPr>
          <w:rFonts w:ascii="Arial" w:cs="Arial" w:eastAsia="Arial" w:hAnsi="Arial"/>
          <w:sz w:val="20"/>
          <w:szCs w:val="20"/>
          <w:b w:val="1"/>
          <w:bCs w:val="1"/>
          <w:color w:val="221E1F"/>
        </w:rPr>
        <w:t xml:space="preserve">Voluntary Termination. </w:t>
      </w:r>
      <w:r>
        <w:rPr>
          <w:rFonts w:ascii="Arial" w:cs="Arial" w:eastAsia="Arial" w:hAnsi="Arial"/>
          <w:sz w:val="20"/>
          <w:szCs w:val="20"/>
          <w:color w:val="221E1F"/>
        </w:rPr>
        <w:t>A Participant who voluntarily terminates employment (other than for Retirement or a Change-in-Control</w:t>
      </w:r>
      <w:r>
        <w:rPr>
          <w:rFonts w:ascii="Arial" w:cs="Arial" w:eastAsia="Arial" w:hAnsi="Arial"/>
          <w:sz w:val="20"/>
          <w:szCs w:val="20"/>
          <w:b w:val="1"/>
          <w:bCs w:val="1"/>
          <w:color w:val="221E1F"/>
        </w:rPr>
        <w:t xml:space="preserve"> </w:t>
      </w:r>
      <w:r>
        <w:rPr>
          <w:rFonts w:ascii="Arial" w:cs="Arial" w:eastAsia="Arial" w:hAnsi="Arial"/>
          <w:sz w:val="20"/>
          <w:szCs w:val="20"/>
          <w:color w:val="221E1F"/>
        </w:rPr>
        <w:t>Termination) is not entitled to pro-rata vesting and will forfeit all unvested RSUs.</w:t>
      </w:r>
    </w:p>
    <w:p>
      <w:pPr>
        <w:spacing w:after="0" w:line="158" w:lineRule="exact"/>
        <w:rPr>
          <w:sz w:val="20"/>
          <w:szCs w:val="20"/>
          <w:color w:val="auto"/>
        </w:rPr>
      </w:pPr>
    </w:p>
    <w:p>
      <w:pPr>
        <w:ind w:right="460"/>
        <w:spacing w:after="0" w:line="226" w:lineRule="auto"/>
        <w:rPr>
          <w:sz w:val="20"/>
          <w:szCs w:val="20"/>
          <w:color w:val="auto"/>
        </w:rPr>
      </w:pPr>
      <w:r>
        <w:rPr>
          <w:rFonts w:ascii="Arial" w:cs="Arial" w:eastAsia="Arial" w:hAnsi="Arial"/>
          <w:sz w:val="20"/>
          <w:szCs w:val="20"/>
          <w:b w:val="1"/>
          <w:bCs w:val="1"/>
          <w:color w:val="221E1F"/>
        </w:rPr>
        <w:t xml:space="preserve">Disability. </w:t>
      </w:r>
      <w:r>
        <w:rPr>
          <w:rFonts w:ascii="Arial" w:cs="Arial" w:eastAsia="Arial" w:hAnsi="Arial"/>
          <w:sz w:val="20"/>
          <w:szCs w:val="20"/>
          <w:color w:val="221E1F"/>
        </w:rPr>
        <w:t>If a Participant incurs a Disability (as defined in the LTIP), unvested RSUs will not be forfeited while a Participant</w:t>
      </w:r>
      <w:r>
        <w:rPr>
          <w:rFonts w:ascii="Arial" w:cs="Arial" w:eastAsia="Arial" w:hAnsi="Arial"/>
          <w:sz w:val="20"/>
          <w:szCs w:val="20"/>
          <w:b w:val="1"/>
          <w:bCs w:val="1"/>
          <w:color w:val="221E1F"/>
        </w:rPr>
        <w:t xml:space="preserve"> </w:t>
      </w:r>
      <w:r>
        <w:rPr>
          <w:rFonts w:ascii="Arial" w:cs="Arial" w:eastAsia="Arial" w:hAnsi="Arial"/>
          <w:sz w:val="20"/>
          <w:szCs w:val="20"/>
          <w:color w:val="221E1F"/>
        </w:rPr>
        <w:t xml:space="preserve">remains disabled under a Company sponsored long-term disability plan. </w:t>
      </w:r>
      <w:r>
        <w:rPr>
          <w:rFonts w:ascii="Arial" w:cs="Arial" w:eastAsia="Arial" w:hAnsi="Arial"/>
          <w:sz w:val="20"/>
          <w:szCs w:val="20"/>
          <w:color w:val="000000"/>
        </w:rPr>
        <w:t>Unvested RSUs will remain eligible to vest on the</w:t>
      </w:r>
      <w:r>
        <w:rPr>
          <w:rFonts w:ascii="Arial" w:cs="Arial" w:eastAsia="Arial" w:hAnsi="Arial"/>
          <w:sz w:val="20"/>
          <w:szCs w:val="20"/>
          <w:color w:val="221E1F"/>
        </w:rPr>
        <w:t xml:space="preserve"> </w:t>
      </w:r>
      <w:r>
        <w:rPr>
          <w:rFonts w:ascii="Arial" w:cs="Arial" w:eastAsia="Arial" w:hAnsi="Arial"/>
          <w:sz w:val="20"/>
          <w:szCs w:val="20"/>
          <w:color w:val="000000"/>
        </w:rPr>
        <w:t>earlier of (</w:t>
      </w:r>
      <w:r>
        <w:rPr>
          <w:rFonts w:ascii="Arial" w:cs="Arial" w:eastAsia="Arial" w:hAnsi="Arial"/>
          <w:sz w:val="20"/>
          <w:szCs w:val="20"/>
          <w:color w:val="221E1F"/>
        </w:rPr>
        <w:t>i</w:t>
      </w:r>
      <w:r>
        <w:rPr>
          <w:rFonts w:ascii="Arial" w:cs="Arial" w:eastAsia="Arial" w:hAnsi="Arial"/>
          <w:sz w:val="20"/>
          <w:szCs w:val="20"/>
          <w:color w:val="000000"/>
        </w:rPr>
        <w:t>) the vesting date specified in the Award Agreement; or (</w:t>
      </w:r>
      <w:r>
        <w:rPr>
          <w:rFonts w:ascii="Arial" w:cs="Arial" w:eastAsia="Arial" w:hAnsi="Arial"/>
          <w:sz w:val="20"/>
          <w:szCs w:val="20"/>
          <w:color w:val="221E1F"/>
        </w:rPr>
        <w:t>ii</w:t>
      </w:r>
      <w:r>
        <w:rPr>
          <w:rFonts w:ascii="Arial" w:cs="Arial" w:eastAsia="Arial" w:hAnsi="Arial"/>
          <w:sz w:val="20"/>
          <w:szCs w:val="20"/>
          <w:color w:val="000000"/>
        </w:rPr>
        <w:t>) 29 months following the date a Participant incurs a Disability.</w:t>
      </w:r>
    </w:p>
    <w:p>
      <w:pPr>
        <w:spacing w:after="0" w:line="160" w:lineRule="exact"/>
        <w:rPr>
          <w:sz w:val="20"/>
          <w:szCs w:val="20"/>
          <w:color w:val="auto"/>
        </w:rPr>
      </w:pPr>
    </w:p>
    <w:p>
      <w:pPr>
        <w:ind w:right="240"/>
        <w:spacing w:after="0" w:line="231" w:lineRule="auto"/>
        <w:rPr>
          <w:sz w:val="20"/>
          <w:szCs w:val="20"/>
          <w:color w:val="auto"/>
        </w:rPr>
      </w:pPr>
      <w:r>
        <w:rPr>
          <w:rFonts w:ascii="Arial" w:cs="Arial" w:eastAsia="Arial" w:hAnsi="Arial"/>
          <w:sz w:val="20"/>
          <w:szCs w:val="20"/>
          <w:b w:val="1"/>
          <w:bCs w:val="1"/>
          <w:color w:val="221E1F"/>
        </w:rPr>
        <w:t xml:space="preserve">Death. </w:t>
      </w:r>
      <w:r>
        <w:rPr>
          <w:rFonts w:ascii="Arial" w:cs="Arial" w:eastAsia="Arial" w:hAnsi="Arial"/>
          <w:sz w:val="20"/>
          <w:szCs w:val="20"/>
          <w:color w:val="221E1F"/>
        </w:rPr>
        <w:t>If a Participant dies while actively employed by the Company, or on Disability, all RSUs will vest as of the date of death</w:t>
      </w:r>
      <w:r>
        <w:rPr>
          <w:rFonts w:ascii="Arial" w:cs="Arial" w:eastAsia="Arial" w:hAnsi="Arial"/>
          <w:sz w:val="20"/>
          <w:szCs w:val="20"/>
          <w:b w:val="1"/>
          <w:bCs w:val="1"/>
          <w:color w:val="221E1F"/>
        </w:rPr>
        <w:t xml:space="preserve"> </w:t>
      </w:r>
      <w:r>
        <w:rPr>
          <w:rFonts w:ascii="Arial" w:cs="Arial" w:eastAsia="Arial" w:hAnsi="Arial"/>
          <w:sz w:val="20"/>
          <w:szCs w:val="20"/>
          <w:color w:val="221E1F"/>
        </w:rPr>
        <w:t>and be converted to shares of Common Stock to be delivered to the Participant’s estate, net of taxes (where applicable), as soon as administratively practicable.</w:t>
      </w:r>
    </w:p>
    <w:p>
      <w:pPr>
        <w:spacing w:after="0" w:line="173" w:lineRule="exact"/>
        <w:rPr>
          <w:sz w:val="20"/>
          <w:szCs w:val="20"/>
          <w:color w:val="auto"/>
        </w:rPr>
      </w:pPr>
    </w:p>
    <w:p>
      <w:pPr>
        <w:ind w:right="260"/>
        <w:spacing w:after="0" w:line="245" w:lineRule="auto"/>
        <w:rPr>
          <w:sz w:val="20"/>
          <w:szCs w:val="20"/>
          <w:color w:val="auto"/>
        </w:rPr>
      </w:pPr>
      <w:r>
        <w:rPr>
          <w:rFonts w:ascii="Arial" w:cs="Arial" w:eastAsia="Arial" w:hAnsi="Arial"/>
          <w:sz w:val="20"/>
          <w:szCs w:val="20"/>
          <w:b w:val="1"/>
          <w:bCs w:val="1"/>
          <w:color w:val="221E1F"/>
        </w:rPr>
        <w:t xml:space="preserve">Change-in-Control Termination. </w:t>
      </w:r>
      <w:r>
        <w:rPr>
          <w:rFonts w:ascii="Arial" w:cs="Arial" w:eastAsia="Arial" w:hAnsi="Arial"/>
          <w:sz w:val="20"/>
          <w:szCs w:val="20"/>
          <w:color w:val="000000"/>
        </w:rPr>
        <w:t>If a Participant’s termination results from an involuntary termination by the Company for</w:t>
      </w:r>
      <w:r>
        <w:rPr>
          <w:rFonts w:ascii="Arial" w:cs="Arial" w:eastAsia="Arial" w:hAnsi="Arial"/>
          <w:sz w:val="20"/>
          <w:szCs w:val="20"/>
          <w:b w:val="1"/>
          <w:bCs w:val="1"/>
          <w:color w:val="221E1F"/>
        </w:rPr>
        <w:t xml:space="preserve"> </w:t>
      </w:r>
      <w:r>
        <w:rPr>
          <w:rFonts w:ascii="Arial" w:cs="Arial" w:eastAsia="Arial" w:hAnsi="Arial"/>
          <w:sz w:val="20"/>
          <w:szCs w:val="20"/>
          <w:color w:val="000000"/>
        </w:rPr>
        <w:t>reasons other than for Cause, or due to the Participant’s voluntary termination for “Good Reason,” in each case, within 24 months following a Change-in-Control in accordance with Section 10(d) of the LTIP (such Termination of Service, a “CIC Termination”), then all unvested RSUs will vest as of the Termination Date and be converted into shares of Common Stock (or cash) to be delivered to the Participant as soon as administratively practicable after the Termination Date, subject to the six-month delay noted below under “Specified Employees”,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144" w:right="3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4"/>
          <w:szCs w:val="14"/>
          <w:color w:val="auto"/>
        </w:rPr>
        <w:t>Internal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20" w:lineRule="auto"/>
        <w:rPr>
          <w:sz w:val="20"/>
          <w:szCs w:val="20"/>
          <w:color w:val="auto"/>
        </w:rPr>
      </w:pPr>
      <w:r>
        <w:rPr>
          <w:rFonts w:ascii="Arial" w:cs="Arial" w:eastAsia="Arial" w:hAnsi="Arial"/>
          <w:sz w:val="20"/>
          <w:szCs w:val="20"/>
          <w:b w:val="1"/>
          <w:bCs w:val="1"/>
          <w:color w:val="221E1F"/>
        </w:rPr>
        <w:t>Specified Employees</w:t>
      </w:r>
      <w:r>
        <w:rPr>
          <w:rFonts w:ascii="Arial" w:cs="Arial" w:eastAsia="Arial" w:hAnsi="Arial"/>
          <w:sz w:val="20"/>
          <w:szCs w:val="20"/>
          <w:color w:val="221E1F"/>
        </w:rPr>
        <w:t>. If a Participant is a “specified employee” within the meaning of Section 409A of the Code (i.e., generally</w:t>
      </w:r>
      <w:r>
        <w:rPr>
          <w:rFonts w:ascii="Arial" w:cs="Arial" w:eastAsia="Arial" w:hAnsi="Arial"/>
          <w:sz w:val="20"/>
          <w:szCs w:val="20"/>
          <w:b w:val="1"/>
          <w:bCs w:val="1"/>
          <w:color w:val="221E1F"/>
        </w:rPr>
        <w:t xml:space="preserve"> </w:t>
      </w:r>
      <w:r>
        <w:rPr>
          <w:rFonts w:ascii="Arial" w:cs="Arial" w:eastAsia="Arial" w:hAnsi="Arial"/>
          <w:sz w:val="20"/>
          <w:szCs w:val="20"/>
          <w:color w:val="221E1F"/>
        </w:rPr>
        <w:t xml:space="preserve">the fifty highest paid employees, as determined by the Company) at the time of the Participant’s Termination of Service, and the RSUs will vest by reason of such Participant’s Termination of Service, then, to the extent necessary to avoid the application of any additional tax or penalty under IRC Section 409A and consistent with the terms of the Plan, RSUs will be held in the Participant’s UBS account and will vest on the first day of the seventh month following the Termination Date. </w:t>
      </w:r>
      <w:r>
        <w:rPr>
          <w:rFonts w:ascii="Arial" w:cs="Arial" w:eastAsia="Arial" w:hAnsi="Arial"/>
          <w:sz w:val="20"/>
          <w:szCs w:val="20"/>
          <w:color w:val="000000"/>
        </w:rPr>
        <w:t>Upon vest, RSUs</w:t>
      </w:r>
      <w:r>
        <w:rPr>
          <w:rFonts w:ascii="Arial" w:cs="Arial" w:eastAsia="Arial" w:hAnsi="Arial"/>
          <w:sz w:val="20"/>
          <w:szCs w:val="20"/>
          <w:color w:val="221E1F"/>
        </w:rPr>
        <w:t xml:space="preserve"> </w:t>
      </w:r>
      <w:r>
        <w:rPr>
          <w:rFonts w:ascii="Arial" w:cs="Arial" w:eastAsia="Arial" w:hAnsi="Arial"/>
          <w:sz w:val="20"/>
          <w:szCs w:val="20"/>
          <w:color w:val="000000"/>
        </w:rPr>
        <w:t>will convert into an equal number of shares of Common Stock (or cash) to be delivered to the Participant as soon as administratively practicable. The value of the RSUs will be determined as of the vest date.</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Forfeiture of Award and Repayment of Realized Gains</w:t>
      </w:r>
    </w:p>
    <w:p>
      <w:pPr>
        <w:spacing w:after="0" w:line="213" w:lineRule="exact"/>
        <w:rPr>
          <w:sz w:val="20"/>
          <w:szCs w:val="20"/>
          <w:color w:val="auto"/>
        </w:rPr>
      </w:pPr>
    </w:p>
    <w:p>
      <w:pPr>
        <w:spacing w:after="0" w:line="229" w:lineRule="auto"/>
        <w:rPr>
          <w:sz w:val="20"/>
          <w:szCs w:val="20"/>
          <w:color w:val="auto"/>
        </w:rPr>
      </w:pPr>
      <w:r>
        <w:rPr>
          <w:rFonts w:ascii="Arial" w:cs="Arial" w:eastAsia="Arial" w:hAnsi="Arial"/>
          <w:sz w:val="20"/>
          <w:szCs w:val="20"/>
          <w:color w:val="221E1F"/>
        </w:rPr>
        <w:t>RSUs will be immediately forfeited and a Participant will be obligated to repay to the Company the value realized from previously vested RSUs upon the occurrence of any of the following events:</w:t>
      </w:r>
    </w:p>
    <w:p>
      <w:pPr>
        <w:spacing w:after="0" w:line="182" w:lineRule="exact"/>
        <w:rPr>
          <w:sz w:val="20"/>
          <w:szCs w:val="20"/>
          <w:color w:val="auto"/>
        </w:rPr>
      </w:pPr>
    </w:p>
    <w:p>
      <w:pPr>
        <w:ind w:left="640" w:hanging="308"/>
        <w:spacing w:after="0"/>
        <w:tabs>
          <w:tab w:leader="none" w:pos="640" w:val="left"/>
        </w:tabs>
        <w:numPr>
          <w:ilvl w:val="0"/>
          <w:numId w:val="89"/>
        </w:numPr>
        <w:rPr>
          <w:rFonts w:ascii="Arial" w:cs="Arial" w:eastAsia="Arial" w:hAnsi="Arial"/>
          <w:sz w:val="20"/>
          <w:szCs w:val="20"/>
          <w:color w:val="auto"/>
        </w:rPr>
      </w:pPr>
      <w:r>
        <w:rPr>
          <w:rFonts w:ascii="Arial" w:cs="Arial" w:eastAsia="Arial" w:hAnsi="Arial"/>
          <w:sz w:val="20"/>
          <w:szCs w:val="20"/>
          <w:color w:val="auto"/>
        </w:rPr>
        <w:t>Termination for Cause (as defined in the LTIP);</w:t>
      </w:r>
    </w:p>
    <w:p>
      <w:pPr>
        <w:spacing w:after="0" w:line="188" w:lineRule="exact"/>
        <w:rPr>
          <w:rFonts w:ascii="Arial" w:cs="Arial" w:eastAsia="Arial" w:hAnsi="Arial"/>
          <w:sz w:val="20"/>
          <w:szCs w:val="20"/>
          <w:color w:val="auto"/>
        </w:rPr>
      </w:pPr>
    </w:p>
    <w:p>
      <w:pPr>
        <w:ind w:left="500" w:right="660" w:hanging="168"/>
        <w:spacing w:after="0" w:line="229" w:lineRule="auto"/>
        <w:tabs>
          <w:tab w:leader="none" w:pos="651" w:val="left"/>
        </w:tabs>
        <w:numPr>
          <w:ilvl w:val="0"/>
          <w:numId w:val="89"/>
        </w:numPr>
        <w:rPr>
          <w:rFonts w:ascii="Arial" w:cs="Arial" w:eastAsia="Arial" w:hAnsi="Arial"/>
          <w:sz w:val="20"/>
          <w:szCs w:val="20"/>
          <w:color w:val="auto"/>
        </w:rPr>
      </w:pPr>
      <w:r>
        <w:rPr>
          <w:rFonts w:ascii="Arial" w:cs="Arial" w:eastAsia="Arial" w:hAnsi="Arial"/>
          <w:sz w:val="20"/>
          <w:szCs w:val="20"/>
          <w:color w:val="auto"/>
        </w:rPr>
        <w:t>A determination that the Participant engaged in conduct that could have constituted the basis for a Termination for Cause, including determinations made within three years following the Termination Date;</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20"/>
          <w:szCs w:val="20"/>
          <w:color w:val="auto"/>
        </w:rPr>
        <w:t>c.Within twenty-four months following the Termination Date, the Participant:</w:t>
      </w:r>
    </w:p>
    <w:p>
      <w:pPr>
        <w:spacing w:after="0" w:line="189" w:lineRule="exact"/>
        <w:rPr>
          <w:sz w:val="20"/>
          <w:szCs w:val="20"/>
          <w:color w:val="auto"/>
        </w:rPr>
      </w:pPr>
    </w:p>
    <w:p>
      <w:pPr>
        <w:ind w:left="820" w:right="120" w:hanging="425"/>
        <w:spacing w:after="0" w:line="229" w:lineRule="auto"/>
        <w:tabs>
          <w:tab w:leader="none" w:pos="820" w:val="left"/>
        </w:tabs>
        <w:numPr>
          <w:ilvl w:val="0"/>
          <w:numId w:val="90"/>
        </w:numPr>
        <w:rPr>
          <w:rFonts w:ascii="Arial" w:cs="Arial" w:eastAsia="Arial" w:hAnsi="Arial"/>
          <w:sz w:val="20"/>
          <w:szCs w:val="20"/>
          <w:color w:val="auto"/>
        </w:rPr>
      </w:pPr>
      <w:r>
        <w:rPr>
          <w:rFonts w:ascii="Arial" w:cs="Arial" w:eastAsia="Arial" w:hAnsi="Arial"/>
          <w:sz w:val="20"/>
          <w:szCs w:val="20"/>
          <w:color w:val="auto"/>
        </w:rPr>
        <w:t>Solicits a Company employee, or individual who had been a Company employee within the previous three months, for an opportunity outside of the Company; or</w:t>
      </w:r>
    </w:p>
    <w:p>
      <w:pPr>
        <w:spacing w:after="0" w:line="164" w:lineRule="exact"/>
        <w:rPr>
          <w:rFonts w:ascii="Arial" w:cs="Arial" w:eastAsia="Arial" w:hAnsi="Arial"/>
          <w:sz w:val="20"/>
          <w:szCs w:val="20"/>
          <w:color w:val="auto"/>
        </w:rPr>
      </w:pPr>
    </w:p>
    <w:p>
      <w:pPr>
        <w:ind w:left="820" w:right="380" w:hanging="469"/>
        <w:spacing w:after="0" w:line="239" w:lineRule="auto"/>
        <w:tabs>
          <w:tab w:leader="none" w:pos="820" w:val="left"/>
        </w:tabs>
        <w:numPr>
          <w:ilvl w:val="0"/>
          <w:numId w:val="90"/>
        </w:numPr>
        <w:rPr>
          <w:rFonts w:ascii="Arial" w:cs="Arial" w:eastAsia="Arial" w:hAnsi="Arial"/>
          <w:sz w:val="20"/>
          <w:szCs w:val="20"/>
          <w:color w:val="auto"/>
        </w:rPr>
      </w:pPr>
      <w:r>
        <w:rPr>
          <w:rFonts w:ascii="Arial" w:cs="Arial" w:eastAsia="Arial" w:hAnsi="Arial"/>
          <w:sz w:val="20"/>
          <w:szCs w:val="20"/>
          <w:color w:val="auto"/>
        </w:rPr>
        <w:t>Publicly disparages the Company, its employees, directors, products</w:t>
      </w:r>
      <w:r>
        <w:rPr>
          <w:rFonts w:ascii="Arial" w:cs="Arial" w:eastAsia="Arial" w:hAnsi="Arial"/>
          <w:sz w:val="21"/>
          <w:szCs w:val="21"/>
          <w:color w:val="auto"/>
        </w:rPr>
        <w:t>,</w:t>
      </w:r>
      <w:r>
        <w:rPr>
          <w:rFonts w:ascii="Arial" w:cs="Arial" w:eastAsia="Arial" w:hAnsi="Arial"/>
          <w:sz w:val="20"/>
          <w:szCs w:val="20"/>
          <w:color w:val="auto"/>
        </w:rPr>
        <w:t xml:space="preserve"> or otherwise makes a public statement that is materially detrimental to the interests of the Company or such individuals; or</w:t>
      </w:r>
    </w:p>
    <w:p>
      <w:pPr>
        <w:spacing w:after="0" w:line="182" w:lineRule="exact"/>
        <w:rPr>
          <w:rFonts w:ascii="Arial" w:cs="Arial" w:eastAsia="Arial" w:hAnsi="Arial"/>
          <w:sz w:val="20"/>
          <w:szCs w:val="20"/>
          <w:color w:val="auto"/>
        </w:rPr>
      </w:pPr>
    </w:p>
    <w:p>
      <w:pPr>
        <w:ind w:left="500" w:hanging="168"/>
        <w:spacing w:after="0" w:line="215" w:lineRule="auto"/>
        <w:tabs>
          <w:tab w:leader="none" w:pos="651" w:val="left"/>
        </w:tabs>
        <w:numPr>
          <w:ilvl w:val="1"/>
          <w:numId w:val="90"/>
        </w:numPr>
        <w:rPr>
          <w:rFonts w:ascii="Arial" w:cs="Arial" w:eastAsia="Arial" w:hAnsi="Arial"/>
          <w:sz w:val="20"/>
          <w:szCs w:val="20"/>
          <w:color w:val="auto"/>
        </w:rPr>
      </w:pPr>
      <w:r>
        <w:rPr>
          <w:rFonts w:ascii="Arial" w:cs="Arial" w:eastAsia="Arial" w:hAnsi="Arial"/>
          <w:sz w:val="20"/>
          <w:szCs w:val="20"/>
          <w:color w:val="auto"/>
        </w:rPr>
        <w:t>At any time during the twelve-month period following the Termination Date: (A) the Participant becomes employed by, consults for, or otherwise renders services to any business entity or person engaged in activities that compete with the Corporation or the business unit that employed the Participant; or (B) that is a material customer of or a material supplier to the Corporation or the business unit that employed the Participant, unless, in either case, the Participant has first obtained the consent of the Chief Human Resources Officer or her or his delegate. This restriction applies to competitors, customers, and suppliers of each business unit that employed the Participant within the two-year period prior to the Termination Date. The determination of status of competitors, customers, and suppliers will be made by the Chief Human Resources Officer (or her or his delegate) in her or his sole discretion.</w:t>
      </w:r>
    </w:p>
    <w:p>
      <w:pPr>
        <w:spacing w:after="0" w:line="188" w:lineRule="exact"/>
        <w:rPr>
          <w:sz w:val="20"/>
          <w:szCs w:val="20"/>
          <w:color w:val="auto"/>
        </w:rPr>
      </w:pPr>
    </w:p>
    <w:p>
      <w:pPr>
        <w:ind w:right="200"/>
        <w:spacing w:after="0" w:line="216" w:lineRule="auto"/>
        <w:rPr>
          <w:sz w:val="20"/>
          <w:szCs w:val="20"/>
          <w:color w:val="auto"/>
        </w:rPr>
      </w:pPr>
      <w:r>
        <w:rPr>
          <w:rFonts w:ascii="Arial" w:cs="Arial" w:eastAsia="Arial" w:hAnsi="Arial"/>
          <w:sz w:val="20"/>
          <w:szCs w:val="20"/>
          <w:color w:val="auto"/>
        </w:rPr>
        <w:t xml:space="preserve">The Participant agrees that the foregoing restrictions are reasonable and that the value of </w:t>
      </w:r>
      <w:r>
        <w:rPr>
          <w:rFonts w:ascii="Arial" w:cs="Arial" w:eastAsia="Arial" w:hAnsi="Arial"/>
          <w:sz w:val="20"/>
          <w:szCs w:val="20"/>
          <w:color w:val="221E1F"/>
        </w:rPr>
        <w:t>the</w:t>
      </w:r>
      <w:r>
        <w:rPr>
          <w:rFonts w:ascii="Arial" w:cs="Arial" w:eastAsia="Arial" w:hAnsi="Arial"/>
          <w:sz w:val="20"/>
          <w:szCs w:val="20"/>
          <w:color w:val="auto"/>
        </w:rPr>
        <w:t xml:space="preserve"> LTIP awards is reasonable consideration for accepting such restrictions and forfeiture contingencies. </w:t>
      </w:r>
      <w:r>
        <w:rPr>
          <w:rFonts w:ascii="Arial" w:cs="Arial" w:eastAsia="Arial" w:hAnsi="Arial"/>
          <w:sz w:val="20"/>
          <w:szCs w:val="20"/>
          <w:color w:val="221E1F"/>
        </w:rPr>
        <w:t>However, if any portion of this section is held by</w:t>
      </w:r>
      <w:r>
        <w:rPr>
          <w:rFonts w:ascii="Arial" w:cs="Arial" w:eastAsia="Arial" w:hAnsi="Arial"/>
          <w:sz w:val="20"/>
          <w:szCs w:val="20"/>
          <w:color w:val="auto"/>
        </w:rPr>
        <w:t xml:space="preserve"> </w:t>
      </w:r>
      <w:r>
        <w:rPr>
          <w:rFonts w:ascii="Arial" w:cs="Arial" w:eastAsia="Arial" w:hAnsi="Arial"/>
          <w:sz w:val="20"/>
          <w:szCs w:val="20"/>
          <w:color w:val="221E1F"/>
        </w:rPr>
        <w:t xml:space="preserve">competent authority to be unenforceable, this section shall be deemed amended to limit its scope to the broadest scope that such authority determines is enforceable, and as so amended shall continue in effect. The Participant acknowledges that this Award shall constitute compensation in satisfaction of these covenants. </w:t>
      </w:r>
      <w:r>
        <w:rPr>
          <w:rFonts w:ascii="Arial" w:cs="Arial" w:eastAsia="Arial" w:hAnsi="Arial"/>
          <w:sz w:val="20"/>
          <w:szCs w:val="20"/>
          <w:color w:val="000000"/>
        </w:rPr>
        <w:t>Further details concerning the forfeiture of awards and</w:t>
      </w:r>
      <w:r>
        <w:rPr>
          <w:rFonts w:ascii="Arial" w:cs="Arial" w:eastAsia="Arial" w:hAnsi="Arial"/>
          <w:sz w:val="20"/>
          <w:szCs w:val="20"/>
          <w:color w:val="221E1F"/>
        </w:rPr>
        <w:t xml:space="preserve"> </w:t>
      </w:r>
      <w:r>
        <w:rPr>
          <w:rFonts w:ascii="Arial" w:cs="Arial" w:eastAsia="Arial" w:hAnsi="Arial"/>
          <w:sz w:val="20"/>
          <w:szCs w:val="20"/>
          <w:color w:val="000000"/>
        </w:rPr>
        <w:t xml:space="preserve">the obligation to repay gains realized from LTIP awards are set forth in Section 14(i) of the LTIP, </w:t>
      </w:r>
      <w:r>
        <w:rPr>
          <w:rFonts w:ascii="Arial" w:cs="Arial" w:eastAsia="Arial" w:hAnsi="Arial"/>
          <w:sz w:val="20"/>
          <w:szCs w:val="20"/>
          <w:color w:val="221E1F"/>
        </w:rPr>
        <w:t>which can be located at</w:t>
      </w:r>
      <w:r>
        <w:rPr>
          <w:rFonts w:ascii="Arial" w:cs="Arial" w:eastAsia="Arial" w:hAnsi="Arial"/>
          <w:sz w:val="20"/>
          <w:szCs w:val="20"/>
          <w:color w:val="000000"/>
        </w:rPr>
        <w:t xml:space="preserve"> </w:t>
      </w:r>
      <w:r>
        <w:rPr>
          <w:rFonts w:ascii="Arial" w:cs="Arial" w:eastAsia="Arial" w:hAnsi="Arial"/>
          <w:sz w:val="20"/>
          <w:szCs w:val="20"/>
          <w:u w:val="single" w:color="auto"/>
          <w:color w:val="0000FF"/>
        </w:rPr>
        <w:t>www.ubs.com/onesource/utx</w:t>
      </w:r>
      <w:r>
        <w:rPr>
          <w:rFonts w:ascii="Arial" w:cs="Arial" w:eastAsia="Arial" w:hAnsi="Arial"/>
          <w:sz w:val="20"/>
          <w:szCs w:val="20"/>
          <w:color w:val="221E1F"/>
        </w:rPr>
        <w:t>.</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144"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4"/>
          <w:szCs w:val="14"/>
          <w:color w:val="auto"/>
        </w:rPr>
        <w:t>Internal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right="400"/>
        <w:spacing w:after="0" w:line="235" w:lineRule="auto"/>
        <w:rPr>
          <w:sz w:val="20"/>
          <w:szCs w:val="20"/>
          <w:color w:val="auto"/>
        </w:rPr>
      </w:pPr>
      <w:r>
        <w:rPr>
          <w:rFonts w:ascii="Arial" w:cs="Arial" w:eastAsia="Arial" w:hAnsi="Arial"/>
          <w:sz w:val="19"/>
          <w:szCs w:val="19"/>
          <w:color w:val="221E1F"/>
        </w:rPr>
        <w:t>If the Corporation engages in a transaction affecting its capital structure, such as a merger, distribution of a special dividend, spin-off of a business unit, stock split, subdivision or consolidation of shares of Common Stock or other events affecting the value of Common Stock, RSU awards may be adjusted as determined by the Committee, in its sole discretion.</w:t>
      </w:r>
    </w:p>
    <w:p>
      <w:pPr>
        <w:spacing w:after="0" w:line="182" w:lineRule="exact"/>
        <w:rPr>
          <w:sz w:val="20"/>
          <w:szCs w:val="20"/>
          <w:color w:val="auto"/>
        </w:rPr>
      </w:pPr>
    </w:p>
    <w:p>
      <w:pPr>
        <w:ind w:right="1340"/>
        <w:spacing w:after="0" w:line="229" w:lineRule="auto"/>
        <w:rPr>
          <w:sz w:val="20"/>
          <w:szCs w:val="20"/>
          <w:color w:val="auto"/>
        </w:rPr>
      </w:pPr>
      <w:r>
        <w:rPr>
          <w:rFonts w:ascii="Arial" w:cs="Arial" w:eastAsia="Arial" w:hAnsi="Arial"/>
          <w:sz w:val="20"/>
          <w:szCs w:val="20"/>
          <w:color w:val="221E1F"/>
        </w:rPr>
        <w:t>Further information concerning capital adjustments is set forth in Section 3(e) of the LTIP, which can be located at www.ubs.com/onesource/utx.com</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Change-in-Control</w:t>
      </w:r>
    </w:p>
    <w:p>
      <w:pPr>
        <w:spacing w:after="0" w:line="213" w:lineRule="exact"/>
        <w:rPr>
          <w:sz w:val="20"/>
          <w:szCs w:val="20"/>
          <w:color w:val="auto"/>
        </w:rPr>
      </w:pPr>
    </w:p>
    <w:p>
      <w:pPr>
        <w:ind w:right="220"/>
        <w:spacing w:after="0" w:line="217" w:lineRule="auto"/>
        <w:rPr>
          <w:sz w:val="20"/>
          <w:szCs w:val="20"/>
          <w:color w:val="auto"/>
        </w:rPr>
      </w:pPr>
      <w:r>
        <w:rPr>
          <w:rFonts w:ascii="Arial" w:cs="Arial" w:eastAsia="Arial" w:hAnsi="Arial"/>
          <w:sz w:val="20"/>
          <w:szCs w:val="20"/>
          <w:color w:val="221E1F"/>
        </w:rPr>
        <w:t>In the event of a Change-in-Control or restructuring of the Company, the Committee may, in its sole discretion, take certain actions with respect to out standing Awards to assure fair and equitable treatment of LTIP Participants. Such actions may include the acceleration of vesting, canceling an outstanding Award in exchange for its equiv alent cash value (as determined by the Committee), or providing for other adjustments or modifications to outstanding Awards as the Committee may deem appropriate. Further details concerning Change-in-Control are set forth in Section 10 of the LTIP, which can be located at www.ubs.com/onesouce/utx.</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Awards Not to Affect Certain Transactions</w:t>
      </w:r>
    </w:p>
    <w:p>
      <w:pPr>
        <w:spacing w:after="0" w:line="213" w:lineRule="exact"/>
        <w:rPr>
          <w:sz w:val="20"/>
          <w:szCs w:val="20"/>
          <w:color w:val="auto"/>
        </w:rPr>
      </w:pPr>
    </w:p>
    <w:p>
      <w:pPr>
        <w:ind w:right="320"/>
        <w:spacing w:after="0" w:line="230" w:lineRule="auto"/>
        <w:rPr>
          <w:sz w:val="20"/>
          <w:szCs w:val="20"/>
          <w:color w:val="auto"/>
        </w:rPr>
      </w:pPr>
      <w:r>
        <w:rPr>
          <w:rFonts w:ascii="Arial" w:cs="Arial" w:eastAsia="Arial" w:hAnsi="Arial"/>
          <w:sz w:val="19"/>
          <w:szCs w:val="19"/>
          <w:color w:val="221E1F"/>
        </w:rPr>
        <w:t>RSU Awards do not in any way affect the right of the Corporation or its shareowners to effect: (i) any adjustments, recapitalizations, reorganizations or other changes in the Corporation’s capital or business structure; (ii) any merger or consolidation of the Corporation; (iii) any issue of bonds, debentures, shares of stock preferred to, or otherwise affecting the Common Stock of the Corporation or the rights of the holders of such Common Stock; (iv) the dissolution or liquidation of the Corporation; (v) any sale or transfer of all or any part of its assets or business; or (vi) any other corpo rate act or proceeding.</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Taxes / Withholding</w:t>
      </w:r>
    </w:p>
    <w:p>
      <w:pPr>
        <w:spacing w:after="0" w:line="213" w:lineRule="exact"/>
        <w:rPr>
          <w:sz w:val="20"/>
          <w:szCs w:val="20"/>
          <w:color w:val="auto"/>
        </w:rPr>
      </w:pPr>
    </w:p>
    <w:p>
      <w:pPr>
        <w:ind w:right="40"/>
        <w:spacing w:after="0" w:line="224" w:lineRule="auto"/>
        <w:rPr>
          <w:sz w:val="20"/>
          <w:szCs w:val="20"/>
          <w:color w:val="auto"/>
        </w:rPr>
      </w:pPr>
      <w:r>
        <w:rPr>
          <w:rFonts w:ascii="Arial" w:cs="Arial" w:eastAsia="Arial" w:hAnsi="Arial"/>
          <w:sz w:val="19"/>
          <w:szCs w:val="19"/>
          <w:color w:val="221E1F"/>
        </w:rPr>
        <w:t xml:space="preserve">The Participant is responsible for all income taxes, social insurance contributions, payroll taxes, payment on account or other tax-related items attributable to any Award (“Tax-Related Items”). The Fair Market Value of Common Stock on the New York Stock Exchange on the date the taxable event occurs will be used to calculate taxable income realized from the RSUs. The provisions of Section 14(d) (Required Taxes) of the LTIP apply to this Award; provided that, if the Participant is an individual covered under Section 16 of the Securities Exchange Act of 1934, as amended at the time that a taxable event occurs, then the Company’s withholding obligations with respect to such taxable event will be satisfied by the Company withholding shares of Common Stock subject to the RSU Award having a Fair Market Value on the date of withholding equal to the amount required to be withheld for tax purposes (calculated using the minimum statutory withholding rate, except as otherwise approved by the Committee). The Company shall have the right to deduct directly from any payment or delivery of shares due to a Participant or from Participant’s regular compensation to effect compliance with all Tax-Related Items, including withholding and reporting with respect to the vesting of any RSU. Acceptance of an Award constitutes affirmative consent by Participant to such reporting and withholding. The Participant acknowledges that the ultimate liability for all Tax-Related Items is and remains the Participant’s responsibility and may exceed the amount actually withheld by the Company. </w:t>
      </w:r>
      <w:r>
        <w:rPr>
          <w:rFonts w:ascii="Arial" w:cs="Arial" w:eastAsia="Arial" w:hAnsi="Arial"/>
          <w:sz w:val="19"/>
          <w:szCs w:val="19"/>
          <w:color w:val="211F1F"/>
        </w:rPr>
        <w:t>Further, if the Participant has become subject to</w:t>
      </w:r>
      <w:r>
        <w:rPr>
          <w:rFonts w:ascii="Arial" w:cs="Arial" w:eastAsia="Arial" w:hAnsi="Arial"/>
          <w:sz w:val="19"/>
          <w:szCs w:val="19"/>
          <w:color w:val="221E1F"/>
        </w:rPr>
        <w:t xml:space="preserve"> </w:t>
      </w:r>
      <w:r>
        <w:rPr>
          <w:rFonts w:ascii="Arial" w:cs="Arial" w:eastAsia="Arial" w:hAnsi="Arial"/>
          <w:sz w:val="19"/>
          <w:szCs w:val="19"/>
          <w:color w:val="211F1F"/>
        </w:rPr>
        <w:t xml:space="preserve">tax in more than one jurisdiction between the date of grant and the date of any relevant taxable event, the Participant acknowledges that the Company may be required to withhold or account for Tax-Related Items in more than one jurisdiction. </w:t>
      </w:r>
      <w:r>
        <w:rPr>
          <w:rFonts w:ascii="Arial" w:cs="Arial" w:eastAsia="Arial" w:hAnsi="Arial"/>
          <w:sz w:val="19"/>
          <w:szCs w:val="19"/>
          <w:color w:val="221E1F"/>
        </w:rPr>
        <w:t>In</w:t>
      </w:r>
      <w:r>
        <w:rPr>
          <w:rFonts w:ascii="Arial" w:cs="Arial" w:eastAsia="Arial" w:hAnsi="Arial"/>
          <w:sz w:val="19"/>
          <w:szCs w:val="19"/>
          <w:color w:val="211F1F"/>
        </w:rPr>
        <w:t xml:space="preserve"> </w:t>
      </w:r>
      <w:r>
        <w:rPr>
          <w:rFonts w:ascii="Arial" w:cs="Arial" w:eastAsia="Arial" w:hAnsi="Arial"/>
          <w:sz w:val="19"/>
          <w:szCs w:val="19"/>
          <w:color w:val="221E1F"/>
        </w:rPr>
        <w:t>those countries where there is no withholding on account of such Tax-Related Items, Participants must pay the appro priate taxes as required by any country where they are subject to tax. In those instances where Company is required to calculate and remit withholding on Tax-Related Items after shares have already been delivered, the Participant shall pay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144"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4"/>
          <w:szCs w:val="14"/>
          <w:color w:val="auto"/>
        </w:rPr>
        <w:t>Internal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520"/>
        <w:spacing w:after="0" w:line="229" w:lineRule="auto"/>
        <w:rPr>
          <w:sz w:val="20"/>
          <w:szCs w:val="20"/>
          <w:color w:val="auto"/>
        </w:rPr>
      </w:pPr>
      <w:r>
        <w:rPr>
          <w:rFonts w:ascii="Arial" w:cs="Arial" w:eastAsia="Arial" w:hAnsi="Arial"/>
          <w:sz w:val="20"/>
          <w:szCs w:val="20"/>
          <w:color w:val="221E1F"/>
        </w:rPr>
        <w:t>Company any amount of Tax-Related Items that the Company is required to pay. The Company may refuse to distribute an Award if a Participant fails to comply with his or her obligations in connection with Tax-Related Items.</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color w:val="auto"/>
        </w:rPr>
        <w:t>Important information about the U.S. Federal income tax consequences of LTIP Awards can be found in the LTIP Prospectus at</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www.ubs.com/onesource/utx</w:t>
      </w:r>
      <w:r>
        <w:rPr>
          <w:rFonts w:ascii="Arial" w:cs="Arial" w:eastAsia="Arial" w:hAnsi="Arial"/>
          <w:sz w:val="20"/>
          <w:szCs w:val="20"/>
          <w:color w:val="000000"/>
        </w:rPr>
        <w: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Nonassignability</w:t>
      </w:r>
    </w:p>
    <w:p>
      <w:pPr>
        <w:spacing w:after="0" w:line="213" w:lineRule="exact"/>
        <w:rPr>
          <w:sz w:val="20"/>
          <w:szCs w:val="20"/>
          <w:color w:val="auto"/>
        </w:rPr>
      </w:pPr>
    </w:p>
    <w:p>
      <w:pPr>
        <w:ind w:right="40"/>
        <w:spacing w:after="0" w:line="223" w:lineRule="auto"/>
        <w:rPr>
          <w:sz w:val="20"/>
          <w:szCs w:val="20"/>
          <w:color w:val="auto"/>
        </w:rPr>
      </w:pPr>
      <w:r>
        <w:rPr>
          <w:rFonts w:ascii="Arial" w:cs="Arial" w:eastAsia="Arial" w:hAnsi="Arial"/>
          <w:sz w:val="20"/>
          <w:szCs w:val="20"/>
          <w:color w:val="221E1F"/>
        </w:rPr>
        <w:t>Unless otherwise approved by the Committee or its delegate, no assignment or transfer of any right or interest of a Participant in any RSU Award, whether voluntary or involuntary, by operation of law or otherwise, is permitted except by will or the laws of descent and distribution</w:t>
      </w:r>
      <w:r>
        <w:rPr>
          <w:rFonts w:ascii="Arial" w:cs="Arial" w:eastAsia="Arial" w:hAnsi="Arial"/>
          <w:sz w:val="20"/>
          <w:szCs w:val="20"/>
          <w:color w:val="000000"/>
        </w:rPr>
        <w:t>. Any other</w:t>
      </w:r>
      <w:r>
        <w:rPr>
          <w:rFonts w:ascii="Arial" w:cs="Arial" w:eastAsia="Arial" w:hAnsi="Arial"/>
          <w:sz w:val="20"/>
          <w:szCs w:val="20"/>
          <w:color w:val="221E1F"/>
        </w:rPr>
        <w:t xml:space="preserve"> attempt to assign such rights or interest shall be void and without force or effect.</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Nature of Payments</w:t>
      </w:r>
    </w:p>
    <w:p>
      <w:pPr>
        <w:spacing w:after="0" w:line="213" w:lineRule="exact"/>
        <w:rPr>
          <w:sz w:val="20"/>
          <w:szCs w:val="20"/>
          <w:color w:val="auto"/>
        </w:rPr>
      </w:pPr>
    </w:p>
    <w:p>
      <w:pPr>
        <w:jc w:val="both"/>
        <w:ind w:right="80"/>
        <w:spacing w:after="0" w:line="220" w:lineRule="auto"/>
        <w:rPr>
          <w:sz w:val="20"/>
          <w:szCs w:val="20"/>
          <w:color w:val="auto"/>
        </w:rPr>
      </w:pPr>
      <w:r>
        <w:rPr>
          <w:rFonts w:ascii="Arial" w:cs="Arial" w:eastAsia="Arial" w:hAnsi="Arial"/>
          <w:sz w:val="20"/>
          <w:szCs w:val="20"/>
          <w:color w:val="221E1F"/>
        </w:rPr>
        <w:t>All Awards made pursuant to the LTIP are in consideration of services performed for the Company. Any gains realized pursuant to such Awards constitute a special incentive payment to the Participant and will not be taken into account as compensation for purposes of any of the employee benefit plans of the Company. Awards are made at the discretion of the Committee. Receipt of a current Award does not guarantee receipt of a future Award.</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211E1F"/>
        </w:rPr>
        <w:t>Right of Discharge Reserved</w:t>
      </w:r>
    </w:p>
    <w:p>
      <w:pPr>
        <w:spacing w:after="0" w:line="213" w:lineRule="exact"/>
        <w:rPr>
          <w:sz w:val="20"/>
          <w:szCs w:val="20"/>
          <w:color w:val="auto"/>
        </w:rPr>
      </w:pPr>
    </w:p>
    <w:p>
      <w:pPr>
        <w:jc w:val="both"/>
        <w:ind w:right="40"/>
        <w:spacing w:after="0" w:line="223" w:lineRule="auto"/>
        <w:rPr>
          <w:sz w:val="20"/>
          <w:szCs w:val="20"/>
          <w:color w:val="auto"/>
        </w:rPr>
      </w:pPr>
      <w:r>
        <w:rPr>
          <w:rFonts w:ascii="Arial" w:cs="Arial" w:eastAsia="Arial" w:hAnsi="Arial"/>
          <w:sz w:val="20"/>
          <w:szCs w:val="20"/>
          <w:color w:val="211E1F"/>
        </w:rPr>
        <w:t>Nothing in the LTIP or in any RSU Award shall confer upon any Participant the right to continued employment or service for any period of time, or affect any right that the Company may have to terminate the employment of any Participant at any time for any reason.</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Administration</w:t>
      </w:r>
    </w:p>
    <w:p>
      <w:pPr>
        <w:spacing w:after="0" w:line="213" w:lineRule="exact"/>
        <w:rPr>
          <w:sz w:val="20"/>
          <w:szCs w:val="20"/>
          <w:color w:val="auto"/>
        </w:rPr>
      </w:pPr>
    </w:p>
    <w:p>
      <w:pPr>
        <w:spacing w:after="0" w:line="215" w:lineRule="auto"/>
        <w:rPr>
          <w:sz w:val="20"/>
          <w:szCs w:val="20"/>
          <w:color w:val="auto"/>
        </w:rPr>
      </w:pPr>
      <w:r>
        <w:rPr>
          <w:rFonts w:ascii="Arial" w:cs="Arial" w:eastAsia="Arial" w:hAnsi="Arial"/>
          <w:sz w:val="20"/>
          <w:szCs w:val="20"/>
          <w:color w:val="221E1F"/>
        </w:rPr>
        <w:t>The Board of Directors of the Corporation has delegated the administration and interpretation of the Awards granted pursuant to the LTIP to the Compensation Committee. The Committee establishes such procedures as it deems necessary and appropriate to administer Awards in a manner that is consistent with the terms of the LTIP. The Committee has, consistent with its charter and subject to certain limitations, delegated to the Chief Execu tive Officer and the Chief Human Resources Officer (and to such subordinates as he or she may further delegate) the authority to grant, administer, and interpret Awards, provided that, such delegation will not apply with respect to employees of the Company who are covered under Section 16 of the Securities Exchange Act of 1934, as amended, and to members of the Company’s Executive Leadership Group. Awards to these individuals will be granted, administered, and interpreted exclusively by the Committee. The Committee’s decision or that of its delegate on any matter related to an Award shall be binding, final, and conclusive on all parties in interest.</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Privacy</w:t>
      </w:r>
    </w:p>
    <w:p>
      <w:pPr>
        <w:spacing w:after="0" w:line="213" w:lineRule="exact"/>
        <w:rPr>
          <w:sz w:val="20"/>
          <w:szCs w:val="20"/>
          <w:color w:val="auto"/>
        </w:rPr>
      </w:pPr>
    </w:p>
    <w:p>
      <w:pPr>
        <w:ind w:right="80"/>
        <w:spacing w:after="0" w:line="217" w:lineRule="auto"/>
        <w:rPr>
          <w:sz w:val="20"/>
          <w:szCs w:val="20"/>
          <w:color w:val="auto"/>
        </w:rPr>
      </w:pPr>
      <w:r>
        <w:rPr>
          <w:rFonts w:ascii="Arial" w:cs="Arial" w:eastAsia="Arial" w:hAnsi="Arial"/>
          <w:sz w:val="20"/>
          <w:szCs w:val="20"/>
          <w:color w:val="221E1F"/>
        </w:rPr>
        <w:t>The Corporation maintains electronic records for the purpose of administering the LTIP and individual Awards. In the normal course of plan administration, electronic data may be transferred to different sites within the Company and to outside service providers. Acceptance of an Award constitutes consent by the Participant to the collection, use, processing, transmission, and holding of personal data, in electronic or other form, as required for the implementation, administration, and management of this Award and the LTIP by the Company or its third-party administrators within or outside the country in which the Participant resides or works. All such collection, use, processing, transmission, and holding of data will comply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144" w:right="3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4"/>
          <w:szCs w:val="14"/>
          <w:color w:val="auto"/>
        </w:rPr>
        <w:t>Internal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60"/>
        <w:spacing w:after="0" w:line="229" w:lineRule="auto"/>
        <w:rPr>
          <w:sz w:val="20"/>
          <w:szCs w:val="20"/>
          <w:color w:val="auto"/>
        </w:rPr>
      </w:pPr>
      <w:r>
        <w:rPr>
          <w:rFonts w:ascii="Arial" w:cs="Arial" w:eastAsia="Arial" w:hAnsi="Arial"/>
          <w:sz w:val="20"/>
          <w:szCs w:val="20"/>
          <w:color w:val="221E1F"/>
        </w:rPr>
        <w:t>applicable privacy protection requirements. If you do not want to have your personal data shared, you may choose to not accept this Award.</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Company Compliance Policies</w:t>
      </w:r>
    </w:p>
    <w:p>
      <w:pPr>
        <w:spacing w:after="0" w:line="213" w:lineRule="exact"/>
        <w:rPr>
          <w:sz w:val="20"/>
          <w:szCs w:val="20"/>
          <w:color w:val="auto"/>
        </w:rPr>
      </w:pPr>
    </w:p>
    <w:p>
      <w:pPr>
        <w:ind w:right="320"/>
        <w:spacing w:after="0" w:line="223" w:lineRule="auto"/>
        <w:rPr>
          <w:sz w:val="20"/>
          <w:szCs w:val="20"/>
          <w:color w:val="auto"/>
        </w:rPr>
      </w:pPr>
      <w:r>
        <w:rPr>
          <w:rFonts w:ascii="Arial" w:cs="Arial" w:eastAsia="Arial" w:hAnsi="Arial"/>
          <w:sz w:val="20"/>
          <w:szCs w:val="20"/>
          <w:color w:val="221E1F"/>
        </w:rPr>
        <w:t>Participants must comply with the Company’s Code of Ethics and Corporate Policies and Procedures. Violations can result in the forfeiture of Awards and the obligation to repay previous gains realized from LTIP Awards. The UTC Code of Ethics and Corporate Policy Manual are available online on the Company’s internal home page.</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Interpretations</w:t>
      </w:r>
    </w:p>
    <w:p>
      <w:pPr>
        <w:spacing w:after="0" w:line="213" w:lineRule="exact"/>
        <w:rPr>
          <w:sz w:val="20"/>
          <w:szCs w:val="20"/>
          <w:color w:val="auto"/>
        </w:rPr>
      </w:pPr>
    </w:p>
    <w:p>
      <w:pPr>
        <w:ind w:right="20"/>
        <w:spacing w:after="0" w:line="215" w:lineRule="auto"/>
        <w:rPr>
          <w:sz w:val="20"/>
          <w:szCs w:val="20"/>
          <w:color w:val="auto"/>
        </w:rPr>
      </w:pPr>
      <w:r>
        <w:rPr>
          <w:rFonts w:ascii="Arial" w:cs="Arial" w:eastAsia="Arial" w:hAnsi="Arial"/>
          <w:sz w:val="20"/>
          <w:szCs w:val="20"/>
          <w:color w:val="auto"/>
        </w:rPr>
        <w:t xml:space="preserve">This Schedule of Terms provides a summary of terms applicable to the RSU Award. </w:t>
      </w:r>
      <w:r>
        <w:rPr>
          <w:rFonts w:ascii="Arial" w:cs="Arial" w:eastAsia="Arial" w:hAnsi="Arial"/>
          <w:sz w:val="20"/>
          <w:szCs w:val="20"/>
          <w:color w:val="221E1F"/>
        </w:rPr>
        <w:t>This Schedule of Terms and each Award</w:t>
      </w:r>
      <w:r>
        <w:rPr>
          <w:rFonts w:ascii="Arial" w:cs="Arial" w:eastAsia="Arial" w:hAnsi="Arial"/>
          <w:sz w:val="20"/>
          <w:szCs w:val="20"/>
          <w:color w:val="auto"/>
        </w:rPr>
        <w:t xml:space="preserve"> </w:t>
      </w:r>
      <w:r>
        <w:rPr>
          <w:rFonts w:ascii="Arial" w:cs="Arial" w:eastAsia="Arial" w:hAnsi="Arial"/>
          <w:sz w:val="20"/>
          <w:szCs w:val="20"/>
          <w:color w:val="221E1F"/>
        </w:rPr>
        <w:t xml:space="preserve">Agreement are subject in all respects to the terms of the LTIP, which can be located at </w:t>
      </w:r>
      <w:r>
        <w:rPr>
          <w:rFonts w:ascii="Arial" w:cs="Arial" w:eastAsia="Arial" w:hAnsi="Arial"/>
          <w:sz w:val="20"/>
          <w:szCs w:val="20"/>
          <w:u w:val="single" w:color="auto"/>
          <w:color w:val="0000FF"/>
        </w:rPr>
        <w:t>www.ubs.com/onesource/utx</w:t>
      </w:r>
      <w:r>
        <w:rPr>
          <w:rFonts w:ascii="Arial" w:cs="Arial" w:eastAsia="Arial" w:hAnsi="Arial"/>
          <w:sz w:val="20"/>
          <w:szCs w:val="20"/>
          <w:color w:val="221E1F"/>
        </w:rPr>
        <w:t>. In the event that any provision of this Schedule of Terms or any Award Agreement is inconsistent with the terms of the LTIP, the terms of the LTIP shall govern. Capitalized terms used but not otherwise defined herein shall have the meanings as defined in the LTIP. Any question concerning administration or interpretation arising under the Schedule of Terms or any Award Agreement will be determined by the Committee or its delegates, and such determination shall be final, binding, and conclusive upon all parties in interest. If this Schedule of Terms or any other document related to this Award is translated into a language other than English and a conflict arises between the English and translated version, the English version will control.</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Governing Law</w:t>
      </w:r>
    </w:p>
    <w:p>
      <w:pPr>
        <w:spacing w:after="0" w:line="213" w:lineRule="exact"/>
        <w:rPr>
          <w:sz w:val="20"/>
          <w:szCs w:val="20"/>
          <w:color w:val="auto"/>
        </w:rPr>
      </w:pPr>
    </w:p>
    <w:p>
      <w:pPr>
        <w:ind w:right="60"/>
        <w:spacing w:after="0" w:line="229" w:lineRule="auto"/>
        <w:rPr>
          <w:sz w:val="20"/>
          <w:szCs w:val="20"/>
          <w:color w:val="auto"/>
        </w:rPr>
      </w:pPr>
      <w:r>
        <w:rPr>
          <w:rFonts w:ascii="Arial" w:cs="Arial" w:eastAsia="Arial" w:hAnsi="Arial"/>
          <w:sz w:val="20"/>
          <w:szCs w:val="20"/>
          <w:color w:val="auto"/>
        </w:rPr>
        <w:t>The LTIP, this Schedule of Terms, and the Award Agreement shall be governed by and construed in accordance with the laws of the State of Delaware.</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Questions concerning the LTIP or Awards and requests for LTIP documents can be directed to:</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20"/>
          <w:szCs w:val="20"/>
          <w:color w:val="auto"/>
        </w:rPr>
        <w:t>Stock Plan Administrator</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20"/>
          <w:szCs w:val="20"/>
          <w:u w:val="single" w:color="auto"/>
          <w:color w:val="0000FF"/>
        </w:rPr>
        <w:t>stockoptionplans@utc.com</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OR</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United Technologies Corporation</w:t>
      </w:r>
    </w:p>
    <w:p>
      <w:pPr>
        <w:ind w:left="660"/>
        <w:spacing w:after="0" w:line="225" w:lineRule="auto"/>
        <w:rPr>
          <w:sz w:val="20"/>
          <w:szCs w:val="20"/>
          <w:color w:val="auto"/>
        </w:rPr>
      </w:pPr>
      <w:r>
        <w:rPr>
          <w:rFonts w:ascii="Arial" w:cs="Arial" w:eastAsia="Arial" w:hAnsi="Arial"/>
          <w:sz w:val="20"/>
          <w:szCs w:val="20"/>
          <w:color w:val="auto"/>
        </w:rPr>
        <w:t>Attn: Stock Plan Administrator</w:t>
      </w:r>
    </w:p>
    <w:p>
      <w:pPr>
        <w:ind w:left="440"/>
        <w:spacing w:after="0" w:line="225" w:lineRule="auto"/>
        <w:rPr>
          <w:sz w:val="20"/>
          <w:szCs w:val="20"/>
          <w:color w:val="auto"/>
        </w:rPr>
      </w:pPr>
      <w:r>
        <w:rPr>
          <w:rFonts w:ascii="Arial" w:cs="Arial" w:eastAsia="Arial" w:hAnsi="Arial"/>
          <w:sz w:val="20"/>
          <w:szCs w:val="20"/>
          <w:color w:val="auto"/>
        </w:rPr>
        <w:t>4 Farm Springs Road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Farmington, CT 06032</w:t>
      </w:r>
    </w:p>
    <w:p>
      <w:pPr>
        <w:spacing w:after="0" w:line="200" w:lineRule="exact"/>
        <w:rPr>
          <w:sz w:val="20"/>
          <w:szCs w:val="20"/>
          <w:color w:val="auto"/>
        </w:rPr>
      </w:pPr>
    </w:p>
    <w:p>
      <w:pPr>
        <w:spacing w:after="0" w:line="286" w:lineRule="exact"/>
        <w:rPr>
          <w:sz w:val="20"/>
          <w:szCs w:val="20"/>
          <w:color w:val="auto"/>
        </w:rPr>
      </w:pPr>
    </w:p>
    <w:p>
      <w:pPr>
        <w:jc w:val="both"/>
        <w:ind w:right="80"/>
        <w:spacing w:after="0" w:line="262" w:lineRule="auto"/>
        <w:rPr>
          <w:sz w:val="20"/>
          <w:szCs w:val="20"/>
          <w:color w:val="auto"/>
        </w:rPr>
      </w:pPr>
      <w:r>
        <w:rPr>
          <w:rFonts w:ascii="Arial" w:cs="Arial" w:eastAsia="Arial" w:hAnsi="Arial"/>
          <w:sz w:val="19"/>
          <w:szCs w:val="19"/>
          <w:color w:val="auto"/>
        </w:rPr>
        <w:t xml:space="preserve">The Corporation and / or its approved Stock Plan Administrator will send any Award-related communications to the Participant’s email address or physical address on record. </w:t>
      </w:r>
      <w:r>
        <w:rPr>
          <w:rFonts w:ascii="Arial" w:cs="Arial" w:eastAsia="Arial" w:hAnsi="Arial"/>
          <w:sz w:val="19"/>
          <w:szCs w:val="19"/>
          <w:color w:val="221E1F"/>
        </w:rPr>
        <w:t>It is the responsibility of the Participant to ensure that both the e-mail and physical</w:t>
      </w:r>
      <w:r>
        <w:rPr>
          <w:rFonts w:ascii="Arial" w:cs="Arial" w:eastAsia="Arial" w:hAnsi="Arial"/>
          <w:sz w:val="19"/>
          <w:szCs w:val="19"/>
          <w:color w:val="auto"/>
        </w:rPr>
        <w:t xml:space="preserve"> </w:t>
      </w:r>
      <w:r>
        <w:rPr>
          <w:rFonts w:ascii="Arial" w:cs="Arial" w:eastAsia="Arial" w:hAnsi="Arial"/>
          <w:sz w:val="19"/>
          <w:szCs w:val="19"/>
          <w:color w:val="221E1F"/>
        </w:rPr>
        <w:t>address on record are up-to-date and accurate at all times to ensure delivery of Award-related communications.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144"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4"/>
          <w:szCs w:val="14"/>
          <w:color w:val="auto"/>
        </w:rPr>
        <w:t>Internal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21E1F"/>
        </w:rPr>
        <w:t>United Technologies Corporation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21E1F"/>
        </w:rPr>
        <w:t>2018 Long-Term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221E1F"/>
        </w:rPr>
        <w:t>Stock Appreciation Right Award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221E1F"/>
        </w:rPr>
        <w:t>Schedule of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221E1F"/>
        </w:rPr>
        <w:t>(Rev. January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This Schedule of Terms describes the material features of the Participant’s Stock Appreciation Right Award (the “SAR Award” or the “Award”) granted under the United Tech nologies Corporation 2018 Long-Term Incentive Plan (the “LTIP”), subject to this Schedule of Terms, the Award Agreement, and the terms and conditions set forth in the LTIP. The LTIP Prospectus contains further information about the LTIP and this Award and is available on the Company’s internal employee website and at </w:t>
      </w:r>
      <w:r>
        <w:rPr>
          <w:rFonts w:ascii="Arial" w:cs="Arial" w:eastAsia="Arial" w:hAnsi="Arial"/>
          <w:sz w:val="18"/>
          <w:szCs w:val="18"/>
          <w:u w:val="single" w:color="auto"/>
          <w:color w:val="0000FF"/>
        </w:rPr>
        <w:t>www.ubs.com/onesource/utx</w:t>
      </w:r>
      <w:r>
        <w:rPr>
          <w:rFonts w:ascii="Arial" w:cs="Arial" w:eastAsia="Arial" w:hAnsi="Arial"/>
          <w:sz w:val="18"/>
          <w:szCs w:val="18"/>
          <w:color w:val="auto"/>
        </w:rPr>
        <w:t>.</w:t>
      </w:r>
    </w:p>
    <w:p>
      <w:pPr>
        <w:sectPr>
          <w:pgSz w:w="11900" w:h="16838" w:orient="portrait"/>
          <w:cols w:equalWidth="0" w:num="1">
            <w:col w:w="11240"/>
          </w:cols>
          <w:pgMar w:left="320" w:top="144" w:right="339" w:bottom="9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44" w:right="339" w:bottom="902" w:gutter="0" w:footer="0" w:header="0"/>
          <w:type w:val="continuous"/>
        </w:sectPr>
      </w:pPr>
    </w:p>
    <w:bookmarkStart w:id="123" w:name="page124"/>
    <w:bookmarkEnd w:id="123"/>
    <w:p>
      <w:pPr>
        <w:ind w:left="3940"/>
        <w:spacing w:after="0"/>
        <w:rPr>
          <w:sz w:val="20"/>
          <w:szCs w:val="20"/>
          <w:color w:val="auto"/>
        </w:rPr>
      </w:pPr>
      <w:r>
        <w:rPr>
          <w:rFonts w:ascii="Arial" w:cs="Arial" w:eastAsia="Arial" w:hAnsi="Arial"/>
          <w:sz w:val="14"/>
          <w:szCs w:val="14"/>
          <w:color w:val="auto"/>
        </w:rPr>
        <w:t>Internal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0120"/>
          </w:cols>
          <w:pgMar w:left="1440" w:top="144" w:right="339" w:bottom="1440" w:gutter="0" w:footer="0" w:header="0"/>
        </w:sectPr>
      </w:pPr>
    </w:p>
    <w:bookmarkStart w:id="124" w:name="page125"/>
    <w:bookmarkEnd w:id="124"/>
    <w:p>
      <w:pPr>
        <w:jc w:val="center"/>
        <w:ind w:right="-59"/>
        <w:spacing w:after="0"/>
        <w:rPr>
          <w:sz w:val="20"/>
          <w:szCs w:val="20"/>
          <w:color w:val="auto"/>
        </w:rPr>
      </w:pPr>
      <w:r>
        <w:rPr>
          <w:rFonts w:ascii="Arial" w:cs="Arial" w:eastAsia="Arial" w:hAnsi="Arial"/>
          <w:sz w:val="14"/>
          <w:szCs w:val="14"/>
          <w:color w:val="auto"/>
        </w:rPr>
        <w:t>Internal Use Only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Ce</w:t>
      </w:r>
      <w:r>
        <w:rPr>
          <w:rFonts w:ascii="Arial" w:cs="Arial" w:eastAsia="Arial" w:hAnsi="Arial"/>
          <w:sz w:val="20"/>
          <w:szCs w:val="20"/>
          <w:b w:val="1"/>
          <w:bCs w:val="1"/>
          <w:color w:val="000000"/>
        </w:rPr>
        <w:t>rtain Definitions</w:t>
      </w:r>
    </w:p>
    <w:p>
      <w:pPr>
        <w:spacing w:after="0" w:line="213" w:lineRule="exact"/>
        <w:rPr>
          <w:sz w:val="20"/>
          <w:szCs w:val="20"/>
          <w:color w:val="auto"/>
        </w:rPr>
      </w:pPr>
    </w:p>
    <w:p>
      <w:pPr>
        <w:ind w:right="20"/>
        <w:spacing w:after="0" w:line="214" w:lineRule="auto"/>
        <w:rPr>
          <w:sz w:val="20"/>
          <w:szCs w:val="20"/>
          <w:color w:val="auto"/>
        </w:rPr>
      </w:pPr>
      <w:r>
        <w:rPr>
          <w:rFonts w:ascii="Arial" w:cs="Arial" w:eastAsia="Arial" w:hAnsi="Arial"/>
          <w:sz w:val="20"/>
          <w:szCs w:val="20"/>
          <w:color w:val="auto"/>
        </w:rPr>
        <w:t>A Stock Appreciation Right (a “SAR”) represents the right to receive the appreciation in one share of Common Stock of United Technologies Corporation (the “Common Stock”) measured from the date of grant to the date of exercise. The appreciation, upon exercise, is generally paid to the Participant in the form of shares of Common Stock. SARs are generally exercisable if the Participant remains employed by the Company through the applicable vesting date schedule set forth on the Award Agreement (see “Vesting” below), or upon an earlier Termination of Service under limited circumstances that result in accelerated vesting (see “Termination of Service” below). “Company” means United Technologies Corporation (the “Corporation” or “UTC”), together with its subsidiaries, divisions and affiliates. “Termination Date” means the date a Participant’s employment ends, or, if different, the date a Participant ceases providing services to the Company as an employee, consultant, or in any other capacity. For the avoidance of doubt, absences from employment by reason of notice periods, garden leaves, or similar paid leaves associated with a Termination of Service shall not be recognized as service in determining the Termination Date. All references to termination of employment in this Schedule of Terms will be deemed to refer to “Termination of Service” as defined in the LTIP. “Committee” means the Compensation Committee of the Board. Capitalized terms not otherwise defined in this Schedule of Terms have the same meaning as defined in the LTIP.</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Acknowledgement and Acceptance of Award</w:t>
      </w:r>
    </w:p>
    <w:p>
      <w:pPr>
        <w:spacing w:after="0" w:line="213" w:lineRule="exact"/>
        <w:rPr>
          <w:sz w:val="20"/>
          <w:szCs w:val="20"/>
          <w:color w:val="auto"/>
        </w:rPr>
      </w:pPr>
    </w:p>
    <w:p>
      <w:pPr>
        <w:ind w:right="160"/>
        <w:spacing w:after="0" w:line="220" w:lineRule="auto"/>
        <w:rPr>
          <w:sz w:val="20"/>
          <w:szCs w:val="20"/>
          <w:color w:val="auto"/>
        </w:rPr>
      </w:pPr>
      <w:r>
        <w:rPr>
          <w:rFonts w:ascii="Arial" w:cs="Arial" w:eastAsia="Arial" w:hAnsi="Arial"/>
          <w:sz w:val="20"/>
          <w:szCs w:val="20"/>
          <w:color w:val="auto"/>
        </w:rPr>
        <w:t>The number of SARs awarded and the SAR grant price are set forth in the Award Agreement. An LTIP Award recipient (a “Participant”) must affirmatively acknowledge and accept the terms and conditions of the SAR Award within 150 days following the Grant Date. A failure to acknowledge and accept the SAR Award within such 150-day period may result in forfeiture of the SAR Award, effective as of the 150th day following the Grant Date.</w:t>
      </w:r>
    </w:p>
    <w:p>
      <w:pPr>
        <w:spacing w:after="0" w:line="163" w:lineRule="exact"/>
        <w:rPr>
          <w:sz w:val="20"/>
          <w:szCs w:val="20"/>
          <w:color w:val="auto"/>
        </w:rPr>
      </w:pPr>
    </w:p>
    <w:p>
      <w:pPr>
        <w:spacing w:after="0" w:line="225" w:lineRule="auto"/>
        <w:rPr>
          <w:sz w:val="20"/>
          <w:szCs w:val="20"/>
          <w:color w:val="auto"/>
        </w:rPr>
      </w:pPr>
      <w:r>
        <w:rPr>
          <w:rFonts w:ascii="Arial" w:cs="Arial" w:eastAsia="Arial" w:hAnsi="Arial"/>
          <w:sz w:val="20"/>
          <w:szCs w:val="20"/>
          <w:color w:val="auto"/>
        </w:rPr>
        <w:t xml:space="preserve">Participants must acknowledge and accept the terms and conditions of this SAR Award electronically via the UBS </w:t>
      </w:r>
      <w:r>
        <w:rPr>
          <w:rFonts w:ascii="Arial" w:cs="Arial" w:eastAsia="Arial" w:hAnsi="Arial"/>
          <w:sz w:val="20"/>
          <w:szCs w:val="20"/>
          <w:i w:val="1"/>
          <w:iCs w:val="1"/>
          <w:color w:val="auto"/>
        </w:rPr>
        <w:t>One Source</w:t>
      </w:r>
      <w:r>
        <w:rPr>
          <w:rFonts w:ascii="Arial" w:cs="Arial" w:eastAsia="Arial" w:hAnsi="Arial"/>
          <w:sz w:val="20"/>
          <w:szCs w:val="20"/>
          <w:color w:val="auto"/>
        </w:rPr>
        <w:t xml:space="preserve"> website at </w:t>
      </w:r>
      <w:r>
        <w:rPr>
          <w:rFonts w:ascii="Arial" w:cs="Arial" w:eastAsia="Arial" w:hAnsi="Arial"/>
          <w:sz w:val="20"/>
          <w:szCs w:val="20"/>
          <w:u w:val="single" w:color="auto"/>
          <w:color w:val="0000FF"/>
        </w:rPr>
        <w:t>www.ubs.com/onesource/utx</w:t>
      </w:r>
      <w:r>
        <w:rPr>
          <w:rFonts w:ascii="Arial" w:cs="Arial" w:eastAsia="Arial" w:hAnsi="Arial"/>
          <w:sz w:val="20"/>
          <w:szCs w:val="20"/>
          <w:color w:val="auto"/>
        </w:rPr>
        <w:t>. Participants based in certain countries may be required to acknowledge and accept the terms and conditions of this SAR Award by signing and returning the designated hard copy portion of the Award Agreement to the Stock Plan Administrator. These countries currently include Russia, Turkey, Hungary, and Slovenia.</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Exercise Price (or “Grant Price”)</w:t>
      </w:r>
    </w:p>
    <w:p>
      <w:pPr>
        <w:spacing w:after="0" w:line="213" w:lineRule="exact"/>
        <w:rPr>
          <w:sz w:val="20"/>
          <w:szCs w:val="20"/>
          <w:color w:val="auto"/>
        </w:rPr>
      </w:pPr>
    </w:p>
    <w:p>
      <w:pPr>
        <w:ind w:right="120"/>
        <w:spacing w:after="0" w:line="229" w:lineRule="auto"/>
        <w:rPr>
          <w:sz w:val="20"/>
          <w:szCs w:val="20"/>
          <w:color w:val="auto"/>
        </w:rPr>
      </w:pPr>
      <w:r>
        <w:rPr>
          <w:rFonts w:ascii="Arial" w:cs="Arial" w:eastAsia="Arial" w:hAnsi="Arial"/>
          <w:sz w:val="20"/>
          <w:szCs w:val="20"/>
          <w:color w:val="auto"/>
        </w:rPr>
        <w:t>The Grant Price represents the Fair Market Value of the Corporation’s Common Stock on the date of grant. “Fair Market Value” means, as of any given date, the closing price of the Common Stock on the New York Stock Exchange.</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Vesting and Expiration</w:t>
      </w:r>
    </w:p>
    <w:p>
      <w:pPr>
        <w:spacing w:after="0" w:line="213" w:lineRule="exact"/>
        <w:rPr>
          <w:sz w:val="20"/>
          <w:szCs w:val="20"/>
          <w:color w:val="auto"/>
        </w:rPr>
      </w:pPr>
    </w:p>
    <w:p>
      <w:pPr>
        <w:ind w:right="80"/>
        <w:spacing w:after="0" w:line="231" w:lineRule="auto"/>
        <w:rPr>
          <w:sz w:val="20"/>
          <w:szCs w:val="20"/>
          <w:color w:val="auto"/>
        </w:rPr>
      </w:pPr>
      <w:r>
        <w:rPr>
          <w:rFonts w:ascii="Arial" w:cs="Arial" w:eastAsia="Arial" w:hAnsi="Arial"/>
          <w:sz w:val="19"/>
          <w:szCs w:val="19"/>
          <w:color w:val="221E1F"/>
        </w:rPr>
        <w:t>SARs will vest and expire (if unexercised) in accordance with the schedule set forth in the Award Agreement, subject to the Participant’s continued employment with the Company through each applicable vesting date. SARs will be forfeited in the event of Termination of Service prior to the vesting date, except in certain earlier terminations involving Retirement, Involuntary Termination (Not for Cause), Disability, Change-in-Control Termination, or Death (see “Termination of Service” below).</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221E1F"/>
        </w:rPr>
        <w:t>SARs may be exercised on or after the vesting date until the earlier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4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00"/>
          </w:cols>
          <w:pgMar w:left="320" w:top="630" w:right="379" w:bottom="1440" w:gutter="0" w:footer="0" w:header="0"/>
        </w:sectPr>
      </w:pPr>
    </w:p>
    <w:bookmarkStart w:id="125" w:name="page126"/>
    <w:bookmarkEnd w:id="125"/>
    <w:p>
      <w:pPr>
        <w:jc w:val="center"/>
        <w:ind w:right="-19"/>
        <w:spacing w:after="0"/>
        <w:rPr>
          <w:sz w:val="20"/>
          <w:szCs w:val="20"/>
          <w:color w:val="auto"/>
        </w:rPr>
      </w:pPr>
      <w:r>
        <w:rPr>
          <w:rFonts w:ascii="Arial" w:cs="Arial" w:eastAsia="Arial" w:hAnsi="Arial"/>
          <w:sz w:val="14"/>
          <w:szCs w:val="14"/>
          <w:color w:val="auto"/>
        </w:rPr>
        <w:t>Internal Use Only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40" w:hanging="232"/>
        <w:spacing w:after="0"/>
        <w:tabs>
          <w:tab w:leader="none" w:pos="240" w:val="left"/>
        </w:tabs>
        <w:numPr>
          <w:ilvl w:val="0"/>
          <w:numId w:val="91"/>
        </w:numPr>
        <w:rPr>
          <w:rFonts w:ascii="Arial" w:cs="Arial" w:eastAsia="Arial" w:hAnsi="Arial"/>
          <w:sz w:val="20"/>
          <w:szCs w:val="20"/>
          <w:color w:val="221E1F"/>
        </w:rPr>
      </w:pPr>
      <w:r>
        <w:rPr>
          <w:rFonts w:ascii="Arial" w:cs="Arial" w:eastAsia="Arial" w:hAnsi="Arial"/>
          <w:sz w:val="20"/>
          <w:szCs w:val="20"/>
          <w:color w:val="221E1F"/>
        </w:rPr>
        <w:t>Expiration date specified in the Award Agreement, at which time the SARs and all asso ciated rights lapse; or</w:t>
      </w:r>
    </w:p>
    <w:p>
      <w:pPr>
        <w:spacing w:after="0" w:line="188" w:lineRule="exact"/>
        <w:rPr>
          <w:rFonts w:ascii="Arial" w:cs="Arial" w:eastAsia="Arial" w:hAnsi="Arial"/>
          <w:sz w:val="20"/>
          <w:szCs w:val="20"/>
          <w:color w:val="221E1F"/>
        </w:rPr>
      </w:pPr>
    </w:p>
    <w:p>
      <w:pPr>
        <w:ind w:left="280" w:hanging="272"/>
        <w:spacing w:after="0"/>
        <w:tabs>
          <w:tab w:leader="none" w:pos="280" w:val="left"/>
        </w:tabs>
        <w:numPr>
          <w:ilvl w:val="0"/>
          <w:numId w:val="91"/>
        </w:numPr>
        <w:rPr>
          <w:rFonts w:ascii="Arial" w:cs="Arial" w:eastAsia="Arial" w:hAnsi="Arial"/>
          <w:sz w:val="20"/>
          <w:szCs w:val="20"/>
          <w:color w:val="221E1F"/>
        </w:rPr>
      </w:pPr>
      <w:r>
        <w:rPr>
          <w:rFonts w:ascii="Arial" w:cs="Arial" w:eastAsia="Arial" w:hAnsi="Arial"/>
          <w:sz w:val="20"/>
          <w:szCs w:val="20"/>
          <w:color w:val="221E1F"/>
        </w:rPr>
        <w:t>Last day permitted on or following Termination of Service as specified in “Termination of Service” below.</w:t>
      </w:r>
    </w:p>
    <w:p>
      <w:pPr>
        <w:spacing w:after="0" w:line="189" w:lineRule="exact"/>
        <w:rPr>
          <w:sz w:val="20"/>
          <w:szCs w:val="20"/>
          <w:color w:val="auto"/>
        </w:rPr>
      </w:pPr>
    </w:p>
    <w:p>
      <w:pPr>
        <w:ind w:right="960"/>
        <w:spacing w:after="0" w:line="229" w:lineRule="auto"/>
        <w:rPr>
          <w:sz w:val="20"/>
          <w:szCs w:val="20"/>
          <w:color w:val="auto"/>
        </w:rPr>
      </w:pPr>
      <w:r>
        <w:rPr>
          <w:rFonts w:ascii="Arial" w:cs="Arial" w:eastAsia="Arial" w:hAnsi="Arial"/>
          <w:sz w:val="20"/>
          <w:szCs w:val="20"/>
          <w:color w:val="auto"/>
        </w:rPr>
        <w:t>SARs may also be forfeited and value realized from exercised SARs may be recouped by the Company under certain circumstances (see “Forfeiture of Award and Repayment of Realized Gains” below).</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No Shareowner Rights</w:t>
      </w:r>
    </w:p>
    <w:p>
      <w:pPr>
        <w:spacing w:after="0" w:line="213" w:lineRule="exact"/>
        <w:rPr>
          <w:sz w:val="20"/>
          <w:szCs w:val="20"/>
          <w:color w:val="auto"/>
        </w:rPr>
      </w:pPr>
    </w:p>
    <w:p>
      <w:pPr>
        <w:jc w:val="both"/>
        <w:ind w:right="120"/>
        <w:spacing w:after="0" w:line="223" w:lineRule="auto"/>
        <w:rPr>
          <w:sz w:val="20"/>
          <w:szCs w:val="20"/>
          <w:color w:val="auto"/>
        </w:rPr>
      </w:pPr>
      <w:r>
        <w:rPr>
          <w:rFonts w:ascii="Arial" w:cs="Arial" w:eastAsia="Arial" w:hAnsi="Arial"/>
          <w:sz w:val="20"/>
          <w:szCs w:val="20"/>
          <w:color w:val="221E1F"/>
        </w:rPr>
        <w:t>A SAR is the right to receive the appreciation in a share of Common Stock, subject to continued employment and certain other conditions. The holder of a SAR has no voting, dividend, or other rights accorded to owners of Common Stock, unless and until SARs are exercised and settled in Common Stock.</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Exercise and Payment</w:t>
      </w:r>
    </w:p>
    <w:p>
      <w:pPr>
        <w:spacing w:after="0" w:line="213" w:lineRule="exact"/>
        <w:rPr>
          <w:sz w:val="20"/>
          <w:szCs w:val="20"/>
          <w:color w:val="auto"/>
        </w:rPr>
      </w:pPr>
    </w:p>
    <w:p>
      <w:pPr>
        <w:ind w:right="120"/>
        <w:spacing w:after="0" w:line="218" w:lineRule="auto"/>
        <w:rPr>
          <w:sz w:val="20"/>
          <w:szCs w:val="20"/>
          <w:color w:val="auto"/>
        </w:rPr>
      </w:pPr>
      <w:r>
        <w:rPr>
          <w:rFonts w:ascii="Arial" w:cs="Arial" w:eastAsia="Arial" w:hAnsi="Arial"/>
          <w:sz w:val="20"/>
          <w:szCs w:val="20"/>
          <w:color w:val="221E1F"/>
        </w:rPr>
        <w:t>While a Participant is employed by the Company, the Participant may exercise SARs on or after the vesting date until the expiration date. The value a Participant will realize upon the exercise of a SAR is the difference between the price of the Common Stock at the time of exercise and the Grant Price. The Participant will generally receive shares of Common Stock as soon as administratively practicable following exercise. The value of the SARs may instead be paid in cash if the Committee so determines, including where local law restricts the distribution of Common Stock.</w:t>
      </w:r>
    </w:p>
    <w:p>
      <w:pPr>
        <w:spacing w:after="0" w:line="184"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221E1F"/>
        </w:rPr>
        <w:t>It is the responsibility of the Participant, or a designated representative, to track the expiration of the Award and exercise SARs in a timely manner. The Company assumes no responsibility for, and will make no adjustments with respect to, SARs that expire unexercised. Any communication from the Plan Administrator or the Company to the Participant with respect to expiration is provided as a courtesy only.</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Termination of Service</w:t>
      </w:r>
    </w:p>
    <w:p>
      <w:pPr>
        <w:spacing w:after="0" w:line="213" w:lineRule="exact"/>
        <w:rPr>
          <w:sz w:val="20"/>
          <w:szCs w:val="20"/>
          <w:color w:val="auto"/>
        </w:rPr>
      </w:pPr>
    </w:p>
    <w:p>
      <w:pPr>
        <w:spacing w:after="0" w:line="223" w:lineRule="auto"/>
        <w:rPr>
          <w:sz w:val="20"/>
          <w:szCs w:val="20"/>
          <w:color w:val="auto"/>
        </w:rPr>
      </w:pPr>
      <w:r>
        <w:rPr>
          <w:rFonts w:ascii="Arial" w:cs="Arial" w:eastAsia="Arial" w:hAnsi="Arial"/>
          <w:sz w:val="20"/>
          <w:szCs w:val="20"/>
          <w:color w:val="221E1F"/>
        </w:rPr>
        <w:t>The treatment of SARs upon Termination of Service depends upon the reason for termination, as detailed in the following sections. SARs held for less than one year as of the Termination Date will be forfeited, except in the event of Death, Disability, or Change-in-Control Termination, as discussed below.</w:t>
      </w:r>
    </w:p>
    <w:p>
      <w:pPr>
        <w:spacing w:after="0" w:line="196" w:lineRule="exact"/>
        <w:rPr>
          <w:sz w:val="20"/>
          <w:szCs w:val="20"/>
          <w:color w:val="auto"/>
        </w:rPr>
      </w:pPr>
    </w:p>
    <w:p>
      <w:pPr>
        <w:ind w:right="260"/>
        <w:spacing w:after="0" w:line="246" w:lineRule="auto"/>
        <w:rPr>
          <w:sz w:val="20"/>
          <w:szCs w:val="20"/>
          <w:color w:val="auto"/>
        </w:rPr>
      </w:pPr>
      <w:r>
        <w:rPr>
          <w:rFonts w:ascii="Arial" w:cs="Arial" w:eastAsia="Arial" w:hAnsi="Arial"/>
          <w:sz w:val="20"/>
          <w:szCs w:val="20"/>
          <w:color w:val="221E1F"/>
        </w:rPr>
        <w:t>Absences from employment because of notice periods, garden leaves, or similar paid leaves associated with a Termination of Service will not be recognized as service in determining the Termination Date.</w:t>
      </w:r>
    </w:p>
    <w:p>
      <w:pPr>
        <w:spacing w:after="0" w:line="166" w:lineRule="exact"/>
        <w:rPr>
          <w:sz w:val="20"/>
          <w:szCs w:val="20"/>
          <w:color w:val="auto"/>
        </w:rPr>
      </w:pPr>
    </w:p>
    <w:p>
      <w:pPr>
        <w:ind w:right="340"/>
        <w:spacing w:after="0" w:line="231" w:lineRule="auto"/>
        <w:rPr>
          <w:sz w:val="20"/>
          <w:szCs w:val="20"/>
          <w:color w:val="auto"/>
        </w:rPr>
      </w:pPr>
      <w:r>
        <w:rPr>
          <w:rFonts w:ascii="Arial" w:cs="Arial" w:eastAsia="Arial" w:hAnsi="Arial"/>
          <w:sz w:val="20"/>
          <w:szCs w:val="20"/>
          <w:b w:val="1"/>
          <w:bCs w:val="1"/>
          <w:color w:val="221E1F"/>
        </w:rPr>
        <w:t xml:space="preserve">Retirement. </w:t>
      </w:r>
      <w:r>
        <w:rPr>
          <w:rFonts w:ascii="Arial" w:cs="Arial" w:eastAsia="Arial" w:hAnsi="Arial"/>
          <w:sz w:val="20"/>
          <w:szCs w:val="20"/>
          <w:color w:val="221E1F"/>
        </w:rPr>
        <w:t>If the Participant’s termination results from Retirement, unvested SARs held for at least one year as of the</w:t>
      </w:r>
      <w:r>
        <w:rPr>
          <w:rFonts w:ascii="Arial" w:cs="Arial" w:eastAsia="Arial" w:hAnsi="Arial"/>
          <w:sz w:val="20"/>
          <w:szCs w:val="20"/>
          <w:b w:val="1"/>
          <w:bCs w:val="1"/>
          <w:color w:val="221E1F"/>
        </w:rPr>
        <w:t xml:space="preserve"> </w:t>
      </w:r>
      <w:r>
        <w:rPr>
          <w:rFonts w:ascii="Arial" w:cs="Arial" w:eastAsia="Arial" w:hAnsi="Arial"/>
          <w:sz w:val="20"/>
          <w:szCs w:val="20"/>
          <w:color w:val="221E1F"/>
        </w:rPr>
        <w:t>Termination Date will vest and become exercisable. For this purpose, Retirement means either a Normal Retirement or Early Retirement as defined below:</w:t>
      </w:r>
    </w:p>
    <w:p>
      <w:pPr>
        <w:spacing w:after="0" w:line="183" w:lineRule="exact"/>
        <w:rPr>
          <w:sz w:val="20"/>
          <w:szCs w:val="20"/>
          <w:color w:val="auto"/>
        </w:rPr>
      </w:pPr>
    </w:p>
    <w:p>
      <w:pPr>
        <w:ind w:left="640" w:hanging="308"/>
        <w:spacing w:after="0"/>
        <w:tabs>
          <w:tab w:leader="none" w:pos="640" w:val="left"/>
        </w:tabs>
        <w:numPr>
          <w:ilvl w:val="0"/>
          <w:numId w:val="92"/>
        </w:numPr>
        <w:rPr>
          <w:rFonts w:ascii="Arial" w:cs="Arial" w:eastAsia="Arial" w:hAnsi="Arial"/>
          <w:sz w:val="20"/>
          <w:szCs w:val="20"/>
          <w:color w:val="221E1F"/>
        </w:rPr>
      </w:pPr>
      <w:r>
        <w:rPr>
          <w:rFonts w:ascii="Arial" w:cs="Arial" w:eastAsia="Arial" w:hAnsi="Arial"/>
          <w:sz w:val="20"/>
          <w:szCs w:val="20"/>
          <w:color w:val="221E1F"/>
        </w:rPr>
        <w:t>“Normal Retirement” means retirement on or after age 65;</w:t>
      </w:r>
    </w:p>
    <w:p>
      <w:pPr>
        <w:spacing w:after="0" w:line="188" w:lineRule="exact"/>
        <w:rPr>
          <w:rFonts w:ascii="Arial" w:cs="Arial" w:eastAsia="Arial" w:hAnsi="Arial"/>
          <w:sz w:val="20"/>
          <w:szCs w:val="20"/>
          <w:color w:val="221E1F"/>
        </w:rPr>
      </w:pPr>
    </w:p>
    <w:p>
      <w:pPr>
        <w:ind w:left="700" w:hanging="368"/>
        <w:spacing w:after="0"/>
        <w:tabs>
          <w:tab w:leader="none" w:pos="700" w:val="left"/>
        </w:tabs>
        <w:numPr>
          <w:ilvl w:val="0"/>
          <w:numId w:val="92"/>
        </w:numPr>
        <w:rPr>
          <w:rFonts w:ascii="Arial" w:cs="Arial" w:eastAsia="Arial" w:hAnsi="Arial"/>
          <w:sz w:val="20"/>
          <w:szCs w:val="20"/>
          <w:color w:val="221E1F"/>
        </w:rPr>
      </w:pPr>
      <w:r>
        <w:rPr>
          <w:rFonts w:ascii="Arial" w:cs="Arial" w:eastAsia="Arial" w:hAnsi="Arial"/>
          <w:sz w:val="20"/>
          <w:szCs w:val="20"/>
          <w:color w:val="221E1F"/>
        </w:rPr>
        <w:t>“Early Retirement” means retirement on or 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4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20"/>
          </w:cols>
          <w:pgMar w:left="320" w:top="630" w:right="359" w:bottom="1440" w:gutter="0" w:footer="0" w:header="0"/>
        </w:sectPr>
      </w:pPr>
    </w:p>
    <w:bookmarkStart w:id="126" w:name="page127"/>
    <w:bookmarkEnd w:id="126"/>
    <w:p>
      <w:pPr>
        <w:jc w:val="center"/>
        <w:ind w:right="-79"/>
        <w:spacing w:after="0"/>
        <w:rPr>
          <w:sz w:val="20"/>
          <w:szCs w:val="20"/>
          <w:color w:val="auto"/>
        </w:rPr>
      </w:pPr>
      <w:r>
        <w:rPr>
          <w:rFonts w:ascii="Arial" w:cs="Arial" w:eastAsia="Arial" w:hAnsi="Arial"/>
          <w:sz w:val="14"/>
          <w:szCs w:val="14"/>
          <w:color w:val="auto"/>
        </w:rPr>
        <w:t>Internal Use Only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300" w:hanging="320"/>
        <w:spacing w:after="0"/>
        <w:tabs>
          <w:tab w:leader="none" w:pos="1300" w:val="left"/>
        </w:tabs>
        <w:numPr>
          <w:ilvl w:val="0"/>
          <w:numId w:val="93"/>
        </w:numPr>
        <w:rPr>
          <w:rFonts w:ascii="Arial" w:cs="Arial" w:eastAsia="Arial" w:hAnsi="Arial"/>
          <w:sz w:val="20"/>
          <w:szCs w:val="20"/>
          <w:color w:val="221E1F"/>
        </w:rPr>
      </w:pPr>
      <w:r>
        <w:rPr>
          <w:rFonts w:ascii="Arial" w:cs="Arial" w:eastAsia="Arial" w:hAnsi="Arial"/>
          <w:sz w:val="20"/>
          <w:szCs w:val="20"/>
          <w:color w:val="221E1F"/>
        </w:rPr>
        <w:t>Age 55 with 10 or more years of continuous service as of the Termination Date; or</w:t>
      </w:r>
    </w:p>
    <w:p>
      <w:pPr>
        <w:spacing w:after="0" w:line="188" w:lineRule="exact"/>
        <w:rPr>
          <w:rFonts w:ascii="Arial" w:cs="Arial" w:eastAsia="Arial" w:hAnsi="Arial"/>
          <w:sz w:val="20"/>
          <w:szCs w:val="20"/>
          <w:color w:val="221E1F"/>
        </w:rPr>
      </w:pPr>
    </w:p>
    <w:p>
      <w:pPr>
        <w:ind w:left="1300" w:right="120" w:hanging="320"/>
        <w:spacing w:after="0" w:line="229" w:lineRule="auto"/>
        <w:tabs>
          <w:tab w:leader="none" w:pos="1289" w:val="left"/>
        </w:tabs>
        <w:numPr>
          <w:ilvl w:val="0"/>
          <w:numId w:val="93"/>
        </w:numPr>
        <w:rPr>
          <w:rFonts w:ascii="Arial" w:cs="Arial" w:eastAsia="Arial" w:hAnsi="Arial"/>
          <w:sz w:val="20"/>
          <w:szCs w:val="20"/>
          <w:color w:val="221E1F"/>
        </w:rPr>
      </w:pPr>
      <w:r>
        <w:rPr>
          <w:rFonts w:ascii="Arial" w:cs="Arial" w:eastAsia="Arial" w:hAnsi="Arial"/>
          <w:sz w:val="20"/>
          <w:szCs w:val="20"/>
          <w:color w:val="221E1F"/>
        </w:rPr>
        <w:t>Age 50, but before age 55, and the Participant’s age and continuous service as of the Termination Date adds up to 65 or more (“Rule of 65”).</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221E1F"/>
        </w:rPr>
        <w:t>Upon Retirement, vested SARs may be exercised as detailed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6995160" cy="25031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6995160" cy="2503170"/>
                    </a:xfrm>
                    <a:prstGeom prst="rect">
                      <a:avLst/>
                    </a:prstGeom>
                    <a:noFill/>
                  </pic:spPr>
                </pic:pic>
              </a:graphicData>
            </a:graphic>
          </wp:anchor>
        </w:drawing>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0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221E1F"/>
                <w:w w:val="98"/>
              </w:rPr>
              <w:t>Retirement Type</w:t>
            </w:r>
          </w:p>
        </w:tc>
        <w:tc>
          <w:tcPr>
            <w:tcW w:w="2840" w:type="dxa"/>
            <w:vAlign w:val="bottom"/>
            <w:tcBorders>
              <w:top w:val="single" w:sz="8" w:color="auto"/>
              <w:right w:val="single" w:sz="8" w:color="auto"/>
            </w:tcBorders>
          </w:tcPr>
          <w:p>
            <w:pPr>
              <w:jc w:val="center"/>
              <w:spacing w:after="0" w:line="229" w:lineRule="exact"/>
              <w:rPr>
                <w:sz w:val="20"/>
                <w:szCs w:val="20"/>
                <w:color w:val="auto"/>
              </w:rPr>
            </w:pPr>
            <w:r>
              <w:rPr>
                <w:rFonts w:ascii="Arial" w:cs="Arial" w:eastAsia="Arial" w:hAnsi="Arial"/>
                <w:sz w:val="20"/>
                <w:szCs w:val="20"/>
                <w:b w:val="1"/>
                <w:bCs w:val="1"/>
                <w:color w:val="221E1F"/>
                <w:w w:val="98"/>
              </w:rPr>
              <w:t>Company Consents to Early</w:t>
            </w:r>
          </w:p>
        </w:tc>
        <w:tc>
          <w:tcPr>
            <w:tcW w:w="5160" w:type="dxa"/>
            <w:vAlign w:val="bottom"/>
            <w:tcBorders>
              <w:top w:val="single" w:sz="8" w:color="auto"/>
            </w:tcBorders>
            <w:vMerge w:val="restart"/>
          </w:tcPr>
          <w:p>
            <w:pPr>
              <w:ind w:left="1820"/>
              <w:spacing w:after="0"/>
              <w:rPr>
                <w:sz w:val="20"/>
                <w:szCs w:val="20"/>
                <w:color w:val="auto"/>
              </w:rPr>
            </w:pPr>
            <w:r>
              <w:rPr>
                <w:rFonts w:ascii="Arial" w:cs="Arial" w:eastAsia="Arial" w:hAnsi="Arial"/>
                <w:sz w:val="20"/>
                <w:szCs w:val="20"/>
                <w:b w:val="1"/>
                <w:bCs w:val="1"/>
                <w:color w:val="221E1F"/>
              </w:rPr>
              <w:t>Exercise Period</w:t>
            </w:r>
          </w:p>
        </w:tc>
        <w:tc>
          <w:tcPr>
            <w:tcW w:w="0" w:type="dxa"/>
            <w:vAlign w:val="bottom"/>
          </w:tcPr>
          <w:p>
            <w:pPr>
              <w:spacing w:after="0"/>
              <w:rPr>
                <w:sz w:val="1"/>
                <w:szCs w:val="1"/>
                <w:color w:val="auto"/>
              </w:rPr>
            </w:pPr>
          </w:p>
        </w:tc>
      </w:tr>
      <w:tr>
        <w:trPr>
          <w:trHeight w:val="153"/>
        </w:trPr>
        <w:tc>
          <w:tcPr>
            <w:tcW w:w="3020" w:type="dxa"/>
            <w:vAlign w:val="bottom"/>
            <w:tcBorders>
              <w:right w:val="single" w:sz="8" w:color="auto"/>
            </w:tcBorders>
            <w:vMerge w:val="continue"/>
          </w:tcPr>
          <w:p>
            <w:pPr>
              <w:spacing w:after="0"/>
              <w:rPr>
                <w:sz w:val="13"/>
                <w:szCs w:val="13"/>
                <w:color w:val="auto"/>
              </w:rPr>
            </w:pPr>
          </w:p>
        </w:tc>
        <w:tc>
          <w:tcPr>
            <w:tcW w:w="2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221E1F"/>
                <w:w w:val="98"/>
              </w:rPr>
              <w:t>Retirement *</w:t>
            </w:r>
          </w:p>
        </w:tc>
        <w:tc>
          <w:tcPr>
            <w:tcW w:w="5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3020" w:type="dxa"/>
            <w:vAlign w:val="bottom"/>
            <w:tcBorders>
              <w:bottom w:val="single" w:sz="8" w:color="auto"/>
              <w:right w:val="single" w:sz="8" w:color="auto"/>
            </w:tcBorders>
          </w:tcPr>
          <w:p>
            <w:pPr>
              <w:spacing w:after="0"/>
              <w:rPr>
                <w:sz w:val="9"/>
                <w:szCs w:val="9"/>
                <w:color w:val="auto"/>
              </w:rPr>
            </w:pPr>
          </w:p>
        </w:tc>
        <w:tc>
          <w:tcPr>
            <w:tcW w:w="2840" w:type="dxa"/>
            <w:vAlign w:val="bottom"/>
            <w:tcBorders>
              <w:bottom w:val="single" w:sz="8" w:color="auto"/>
              <w:right w:val="single" w:sz="8" w:color="auto"/>
            </w:tcBorders>
            <w:vMerge w:val="continue"/>
          </w:tcPr>
          <w:p>
            <w:pPr>
              <w:spacing w:after="0"/>
              <w:rPr>
                <w:sz w:val="9"/>
                <w:szCs w:val="9"/>
                <w:color w:val="auto"/>
              </w:rPr>
            </w:pPr>
          </w:p>
        </w:tc>
        <w:tc>
          <w:tcPr>
            <w:tcW w:w="51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3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221E1F"/>
                <w:w w:val="99"/>
              </w:rPr>
              <w:t>Normal Retirement (age 65)</w:t>
            </w: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221E1F"/>
                <w:w w:val="95"/>
              </w:rPr>
              <w:t>N/A</w:t>
            </w:r>
          </w:p>
        </w:tc>
        <w:tc>
          <w:tcPr>
            <w:tcW w:w="516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221E1F"/>
              </w:rPr>
              <w:t>SARs may be exercised until the expiration of their term</w:t>
            </w:r>
          </w:p>
        </w:tc>
        <w:tc>
          <w:tcPr>
            <w:tcW w:w="0" w:type="dxa"/>
            <w:vAlign w:val="bottom"/>
          </w:tcPr>
          <w:p>
            <w:pPr>
              <w:spacing w:after="0"/>
              <w:rPr>
                <w:sz w:val="1"/>
                <w:szCs w:val="1"/>
                <w:color w:val="auto"/>
              </w:rPr>
            </w:pPr>
          </w:p>
        </w:tc>
      </w:tr>
      <w:tr>
        <w:trPr>
          <w:trHeight w:val="265"/>
        </w:trPr>
        <w:tc>
          <w:tcPr>
            <w:tcW w:w="3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221E1F"/>
                <w:w w:val="99"/>
              </w:rPr>
              <w:t>Early Retirement on or after age</w:t>
            </w: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221E1F"/>
                <w:w w:val="92"/>
              </w:rPr>
              <w:t>Yes</w:t>
            </w:r>
          </w:p>
        </w:tc>
        <w:tc>
          <w:tcPr>
            <w:tcW w:w="516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221E1F"/>
              </w:rPr>
              <w:t>SARs may be exercised until the expiration of their term</w:t>
            </w:r>
          </w:p>
        </w:tc>
        <w:tc>
          <w:tcPr>
            <w:tcW w:w="0" w:type="dxa"/>
            <w:vAlign w:val="bottom"/>
          </w:tcPr>
          <w:p>
            <w:pPr>
              <w:spacing w:after="0"/>
              <w:rPr>
                <w:sz w:val="1"/>
                <w:szCs w:val="1"/>
                <w:color w:val="auto"/>
              </w:rPr>
            </w:pPr>
          </w:p>
        </w:tc>
      </w:tr>
      <w:tr>
        <w:trPr>
          <w:trHeight w:val="200"/>
        </w:trPr>
        <w:tc>
          <w:tcPr>
            <w:tcW w:w="3020" w:type="dxa"/>
            <w:vAlign w:val="bottom"/>
            <w:tcBorders>
              <w:right w:val="single" w:sz="8" w:color="auto"/>
            </w:tcBorders>
          </w:tcPr>
          <w:p>
            <w:pPr>
              <w:jc w:val="center"/>
              <w:spacing w:after="0" w:line="200" w:lineRule="exact"/>
              <w:rPr>
                <w:sz w:val="20"/>
                <w:szCs w:val="20"/>
                <w:color w:val="auto"/>
              </w:rPr>
            </w:pPr>
            <w:r>
              <w:rPr>
                <w:rFonts w:ascii="Arial" w:cs="Arial" w:eastAsia="Arial" w:hAnsi="Arial"/>
                <w:sz w:val="20"/>
                <w:szCs w:val="20"/>
                <w:color w:val="221E1F"/>
                <w:w w:val="99"/>
              </w:rPr>
              <w:t>55 + 10 years of continuous</w:t>
            </w:r>
          </w:p>
        </w:tc>
        <w:tc>
          <w:tcPr>
            <w:tcW w:w="2840" w:type="dxa"/>
            <w:vAlign w:val="bottom"/>
            <w:tcBorders>
              <w:right w:val="single" w:sz="8" w:color="auto"/>
            </w:tcBorders>
          </w:tcPr>
          <w:p>
            <w:pPr>
              <w:spacing w:after="0"/>
              <w:rPr>
                <w:sz w:val="17"/>
                <w:szCs w:val="17"/>
                <w:color w:val="auto"/>
              </w:rPr>
            </w:pPr>
          </w:p>
        </w:tc>
        <w:tc>
          <w:tcPr>
            <w:tcW w:w="5160" w:type="dxa"/>
            <w:vAlign w:val="bottom"/>
          </w:tcPr>
          <w:p>
            <w:pPr>
              <w:ind w:left="20"/>
              <w:spacing w:after="0" w:line="200" w:lineRule="exact"/>
              <w:rPr>
                <w:sz w:val="20"/>
                <w:szCs w:val="20"/>
                <w:color w:val="auto"/>
              </w:rPr>
            </w:pPr>
            <w:r>
              <w:rPr>
                <w:rFonts w:ascii="Arial" w:cs="Arial" w:eastAsia="Arial" w:hAnsi="Arial"/>
                <w:sz w:val="20"/>
                <w:szCs w:val="20"/>
                <w:color w:val="221E1F"/>
              </w:rPr>
              <w:t>SARs may be exercised for three (3) years following the</w:t>
            </w:r>
          </w:p>
        </w:tc>
        <w:tc>
          <w:tcPr>
            <w:tcW w:w="0" w:type="dxa"/>
            <w:vAlign w:val="bottom"/>
          </w:tcPr>
          <w:p>
            <w:pPr>
              <w:spacing w:after="0"/>
              <w:rPr>
                <w:sz w:val="1"/>
                <w:szCs w:val="1"/>
                <w:color w:val="auto"/>
              </w:rPr>
            </w:pPr>
          </w:p>
        </w:tc>
      </w:tr>
      <w:tr>
        <w:trPr>
          <w:trHeight w:val="216"/>
        </w:trPr>
        <w:tc>
          <w:tcPr>
            <w:tcW w:w="30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221E1F"/>
                <w:w w:val="98"/>
              </w:rPr>
              <w:t>service as of the Termination</w:t>
            </w:r>
          </w:p>
        </w:tc>
        <w:tc>
          <w:tcPr>
            <w:tcW w:w="28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221E1F"/>
                <w:w w:val="93"/>
              </w:rPr>
              <w:t>No</w:t>
            </w:r>
          </w:p>
        </w:tc>
        <w:tc>
          <w:tcPr>
            <w:tcW w:w="5160" w:type="dxa"/>
            <w:vAlign w:val="bottom"/>
          </w:tcPr>
          <w:p>
            <w:pPr>
              <w:ind w:left="20"/>
              <w:spacing w:after="0" w:line="216" w:lineRule="exact"/>
              <w:rPr>
                <w:sz w:val="20"/>
                <w:szCs w:val="20"/>
                <w:color w:val="auto"/>
              </w:rPr>
            </w:pPr>
            <w:r>
              <w:rPr>
                <w:rFonts w:ascii="Arial" w:cs="Arial" w:eastAsia="Arial" w:hAnsi="Arial"/>
                <w:sz w:val="20"/>
                <w:szCs w:val="20"/>
                <w:color w:val="221E1F"/>
              </w:rPr>
              <w:t>Termination Date or until the expiration of the SAR,</w:t>
            </w:r>
          </w:p>
        </w:tc>
        <w:tc>
          <w:tcPr>
            <w:tcW w:w="0" w:type="dxa"/>
            <w:vAlign w:val="bottom"/>
          </w:tcPr>
          <w:p>
            <w:pPr>
              <w:spacing w:after="0"/>
              <w:rPr>
                <w:sz w:val="1"/>
                <w:szCs w:val="1"/>
                <w:color w:val="auto"/>
              </w:rPr>
            </w:pPr>
          </w:p>
        </w:tc>
      </w:tr>
      <w:tr>
        <w:trPr>
          <w:trHeight w:val="279"/>
        </w:trPr>
        <w:tc>
          <w:tcPr>
            <w:tcW w:w="3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221E1F"/>
                <w:w w:val="99"/>
              </w:rPr>
              <w:t>Date</w:t>
            </w:r>
          </w:p>
        </w:tc>
        <w:tc>
          <w:tcPr>
            <w:tcW w:w="2840" w:type="dxa"/>
            <w:vAlign w:val="bottom"/>
            <w:tcBorders>
              <w:bottom w:val="single" w:sz="8" w:color="auto"/>
              <w:right w:val="single" w:sz="8" w:color="auto"/>
            </w:tcBorders>
          </w:tcPr>
          <w:p>
            <w:pPr>
              <w:spacing w:after="0"/>
              <w:rPr>
                <w:sz w:val="24"/>
                <w:szCs w:val="24"/>
                <w:color w:val="auto"/>
              </w:rPr>
            </w:pPr>
          </w:p>
        </w:tc>
        <w:tc>
          <w:tcPr>
            <w:tcW w:w="516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221E1F"/>
              </w:rPr>
              <w:t>whichever is earlier</w:t>
            </w:r>
          </w:p>
        </w:tc>
        <w:tc>
          <w:tcPr>
            <w:tcW w:w="0" w:type="dxa"/>
            <w:vAlign w:val="bottom"/>
          </w:tcPr>
          <w:p>
            <w:pPr>
              <w:spacing w:after="0"/>
              <w:rPr>
                <w:sz w:val="1"/>
                <w:szCs w:val="1"/>
                <w:color w:val="auto"/>
              </w:rPr>
            </w:pPr>
          </w:p>
        </w:tc>
      </w:tr>
      <w:tr>
        <w:trPr>
          <w:trHeight w:val="238"/>
        </w:trPr>
        <w:tc>
          <w:tcPr>
            <w:tcW w:w="3020" w:type="dxa"/>
            <w:vAlign w:val="bottom"/>
            <w:tcBorders>
              <w:right w:val="single" w:sz="8" w:color="auto"/>
            </w:tcBorders>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p>
        </w:tc>
        <w:tc>
          <w:tcPr>
            <w:tcW w:w="5160" w:type="dxa"/>
            <w:vAlign w:val="bottom"/>
          </w:tcPr>
          <w:p>
            <w:pPr>
              <w:ind w:left="20"/>
              <w:spacing w:after="0"/>
              <w:rPr>
                <w:sz w:val="20"/>
                <w:szCs w:val="20"/>
                <w:color w:val="auto"/>
              </w:rPr>
            </w:pPr>
            <w:r>
              <w:rPr>
                <w:rFonts w:ascii="Arial" w:cs="Arial" w:eastAsia="Arial" w:hAnsi="Arial"/>
                <w:sz w:val="20"/>
                <w:szCs w:val="20"/>
                <w:color w:val="221E1F"/>
              </w:rPr>
              <w:t>SARs may be exercised for five (5) years following the</w:t>
            </w:r>
          </w:p>
        </w:tc>
        <w:tc>
          <w:tcPr>
            <w:tcW w:w="0" w:type="dxa"/>
            <w:vAlign w:val="bottom"/>
          </w:tcPr>
          <w:p>
            <w:pPr>
              <w:spacing w:after="0"/>
              <w:rPr>
                <w:sz w:val="1"/>
                <w:szCs w:val="1"/>
                <w:color w:val="auto"/>
              </w:rPr>
            </w:pPr>
          </w:p>
        </w:tc>
      </w:tr>
      <w:tr>
        <w:trPr>
          <w:trHeight w:val="216"/>
        </w:trPr>
        <w:tc>
          <w:tcPr>
            <w:tcW w:w="30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221E1F"/>
                <w:w w:val="99"/>
              </w:rPr>
              <w:t>Early Retirement on or after age</w:t>
            </w:r>
          </w:p>
        </w:tc>
        <w:tc>
          <w:tcPr>
            <w:tcW w:w="28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221E1F"/>
                <w:w w:val="92"/>
              </w:rPr>
              <w:t>Yes</w:t>
            </w:r>
          </w:p>
        </w:tc>
        <w:tc>
          <w:tcPr>
            <w:tcW w:w="5160" w:type="dxa"/>
            <w:vAlign w:val="bottom"/>
          </w:tcPr>
          <w:p>
            <w:pPr>
              <w:ind w:left="20"/>
              <w:spacing w:after="0" w:line="216" w:lineRule="exact"/>
              <w:rPr>
                <w:sz w:val="20"/>
                <w:szCs w:val="20"/>
                <w:color w:val="auto"/>
              </w:rPr>
            </w:pPr>
            <w:r>
              <w:rPr>
                <w:rFonts w:ascii="Arial" w:cs="Arial" w:eastAsia="Arial" w:hAnsi="Arial"/>
                <w:sz w:val="20"/>
                <w:szCs w:val="20"/>
                <w:color w:val="221E1F"/>
              </w:rPr>
              <w:t>Termination Date or until the expiration of the SAR,</w:t>
            </w:r>
          </w:p>
        </w:tc>
        <w:tc>
          <w:tcPr>
            <w:tcW w:w="0" w:type="dxa"/>
            <w:vAlign w:val="bottom"/>
          </w:tcPr>
          <w:p>
            <w:pPr>
              <w:spacing w:after="0"/>
              <w:rPr>
                <w:sz w:val="1"/>
                <w:szCs w:val="1"/>
                <w:color w:val="auto"/>
              </w:rPr>
            </w:pPr>
          </w:p>
        </w:tc>
      </w:tr>
      <w:tr>
        <w:trPr>
          <w:trHeight w:val="243"/>
        </w:trPr>
        <w:tc>
          <w:tcPr>
            <w:tcW w:w="3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221E1F"/>
                <w:w w:val="98"/>
              </w:rPr>
              <w:t>50, but prior to age 55 + years of</w:t>
            </w:r>
          </w:p>
        </w:tc>
        <w:tc>
          <w:tcPr>
            <w:tcW w:w="2840" w:type="dxa"/>
            <w:vAlign w:val="bottom"/>
            <w:tcBorders>
              <w:bottom w:val="single" w:sz="8" w:color="auto"/>
              <w:right w:val="single" w:sz="8" w:color="auto"/>
            </w:tcBorders>
          </w:tcPr>
          <w:p>
            <w:pPr>
              <w:spacing w:after="0"/>
              <w:rPr>
                <w:sz w:val="21"/>
                <w:szCs w:val="21"/>
                <w:color w:val="auto"/>
              </w:rPr>
            </w:pPr>
          </w:p>
        </w:tc>
        <w:tc>
          <w:tcPr>
            <w:tcW w:w="516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221E1F"/>
              </w:rPr>
              <w:t>whichever is earlier</w:t>
            </w:r>
          </w:p>
        </w:tc>
        <w:tc>
          <w:tcPr>
            <w:tcW w:w="0" w:type="dxa"/>
            <w:vAlign w:val="bottom"/>
          </w:tcPr>
          <w:p>
            <w:pPr>
              <w:spacing w:after="0"/>
              <w:rPr>
                <w:sz w:val="1"/>
                <w:szCs w:val="1"/>
                <w:color w:val="auto"/>
              </w:rPr>
            </w:pPr>
          </w:p>
        </w:tc>
      </w:tr>
      <w:tr>
        <w:trPr>
          <w:trHeight w:val="200"/>
        </w:trPr>
        <w:tc>
          <w:tcPr>
            <w:tcW w:w="3020" w:type="dxa"/>
            <w:vAlign w:val="bottom"/>
            <w:tcBorders>
              <w:right w:val="single" w:sz="8" w:color="auto"/>
            </w:tcBorders>
          </w:tcPr>
          <w:p>
            <w:pPr>
              <w:jc w:val="center"/>
              <w:spacing w:after="0" w:line="200" w:lineRule="exact"/>
              <w:rPr>
                <w:sz w:val="20"/>
                <w:szCs w:val="20"/>
                <w:color w:val="auto"/>
              </w:rPr>
            </w:pPr>
            <w:r>
              <w:rPr>
                <w:rFonts w:ascii="Arial" w:cs="Arial" w:eastAsia="Arial" w:hAnsi="Arial"/>
                <w:sz w:val="20"/>
                <w:szCs w:val="20"/>
                <w:color w:val="221E1F"/>
                <w:w w:val="98"/>
              </w:rPr>
              <w:t>service = 65+ as of the</w:t>
            </w:r>
          </w:p>
        </w:tc>
        <w:tc>
          <w:tcPr>
            <w:tcW w:w="2840" w:type="dxa"/>
            <w:vAlign w:val="bottom"/>
            <w:tcBorders>
              <w:right w:val="single" w:sz="8" w:color="auto"/>
            </w:tcBorders>
          </w:tcPr>
          <w:p>
            <w:pPr>
              <w:spacing w:after="0"/>
              <w:rPr>
                <w:sz w:val="17"/>
                <w:szCs w:val="17"/>
                <w:color w:val="auto"/>
              </w:rPr>
            </w:pPr>
          </w:p>
        </w:tc>
        <w:tc>
          <w:tcPr>
            <w:tcW w:w="5160" w:type="dxa"/>
            <w:vAlign w:val="bottom"/>
          </w:tcPr>
          <w:p>
            <w:pPr>
              <w:ind w:left="20"/>
              <w:spacing w:after="0" w:line="200" w:lineRule="exact"/>
              <w:rPr>
                <w:sz w:val="20"/>
                <w:szCs w:val="20"/>
                <w:color w:val="auto"/>
              </w:rPr>
            </w:pPr>
            <w:r>
              <w:rPr>
                <w:rFonts w:ascii="Arial" w:cs="Arial" w:eastAsia="Arial" w:hAnsi="Arial"/>
                <w:sz w:val="20"/>
                <w:szCs w:val="20"/>
                <w:color w:val="221E1F"/>
              </w:rPr>
              <w:t>SARs may be exercised for three (3) years following the</w:t>
            </w:r>
          </w:p>
        </w:tc>
        <w:tc>
          <w:tcPr>
            <w:tcW w:w="0" w:type="dxa"/>
            <w:vAlign w:val="bottom"/>
          </w:tcPr>
          <w:p>
            <w:pPr>
              <w:spacing w:after="0"/>
              <w:rPr>
                <w:sz w:val="1"/>
                <w:szCs w:val="1"/>
                <w:color w:val="auto"/>
              </w:rPr>
            </w:pPr>
          </w:p>
        </w:tc>
      </w:tr>
      <w:tr>
        <w:trPr>
          <w:trHeight w:val="253"/>
        </w:trPr>
        <w:tc>
          <w:tcPr>
            <w:tcW w:w="3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221E1F"/>
                <w:w w:val="97"/>
              </w:rPr>
              <w:t>Termination Date</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221E1F"/>
                <w:w w:val="93"/>
              </w:rPr>
              <w:t>No</w:t>
            </w:r>
          </w:p>
        </w:tc>
        <w:tc>
          <w:tcPr>
            <w:tcW w:w="5160" w:type="dxa"/>
            <w:vAlign w:val="bottom"/>
          </w:tcPr>
          <w:p>
            <w:pPr>
              <w:ind w:left="20"/>
              <w:spacing w:after="0"/>
              <w:rPr>
                <w:sz w:val="20"/>
                <w:szCs w:val="20"/>
                <w:color w:val="auto"/>
              </w:rPr>
            </w:pPr>
            <w:r>
              <w:rPr>
                <w:rFonts w:ascii="Arial" w:cs="Arial" w:eastAsia="Arial" w:hAnsi="Arial"/>
                <w:sz w:val="20"/>
                <w:szCs w:val="20"/>
                <w:color w:val="221E1F"/>
              </w:rPr>
              <w:t>Termination Date or until the expiration of the SAR,</w:t>
            </w:r>
          </w:p>
        </w:tc>
        <w:tc>
          <w:tcPr>
            <w:tcW w:w="0" w:type="dxa"/>
            <w:vAlign w:val="bottom"/>
          </w:tcPr>
          <w:p>
            <w:pPr>
              <w:spacing w:after="0"/>
              <w:rPr>
                <w:sz w:val="1"/>
                <w:szCs w:val="1"/>
                <w:color w:val="auto"/>
              </w:rPr>
            </w:pPr>
          </w:p>
        </w:tc>
      </w:tr>
      <w:tr>
        <w:trPr>
          <w:trHeight w:val="242"/>
        </w:trPr>
        <w:tc>
          <w:tcPr>
            <w:tcW w:w="3020" w:type="dxa"/>
            <w:vAlign w:val="bottom"/>
            <w:tcBorders>
              <w:bottom w:val="single" w:sz="8" w:color="auto"/>
              <w:right w:val="single" w:sz="8" w:color="auto"/>
            </w:tcBorders>
          </w:tcPr>
          <w:p>
            <w:pPr>
              <w:spacing w:after="0"/>
              <w:rPr>
                <w:sz w:val="21"/>
                <w:szCs w:val="21"/>
                <w:color w:val="auto"/>
              </w:rPr>
            </w:pPr>
          </w:p>
        </w:tc>
        <w:tc>
          <w:tcPr>
            <w:tcW w:w="2840" w:type="dxa"/>
            <w:vAlign w:val="bottom"/>
            <w:tcBorders>
              <w:bottom w:val="single" w:sz="8" w:color="auto"/>
              <w:right w:val="single" w:sz="8" w:color="auto"/>
            </w:tcBorders>
          </w:tcPr>
          <w:p>
            <w:pPr>
              <w:spacing w:after="0"/>
              <w:rPr>
                <w:sz w:val="21"/>
                <w:szCs w:val="21"/>
                <w:color w:val="auto"/>
              </w:rPr>
            </w:pPr>
          </w:p>
        </w:tc>
        <w:tc>
          <w:tcPr>
            <w:tcW w:w="516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221E1F"/>
              </w:rPr>
              <w:t>whichever is earlier</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right="340"/>
        <w:spacing w:after="0" w:line="232" w:lineRule="auto"/>
        <w:rPr>
          <w:sz w:val="20"/>
          <w:szCs w:val="20"/>
          <w:color w:val="auto"/>
        </w:rPr>
      </w:pPr>
      <w:r>
        <w:rPr>
          <w:rFonts w:ascii="Arial" w:cs="Arial" w:eastAsia="Arial" w:hAnsi="Arial"/>
          <w:sz w:val="20"/>
          <w:szCs w:val="20"/>
          <w:color w:val="221E1F"/>
        </w:rPr>
        <w:t>* The Company’s consent to the Participant’s Retirement will be at the sole discretion of the Company based on its ability to effectively transition the Participant’s responsibilities as of the Termination Date and such other factors as it may deem appropriate.</w:t>
      </w:r>
    </w:p>
    <w:p>
      <w:pPr>
        <w:spacing w:after="0" w:line="200" w:lineRule="exact"/>
        <w:rPr>
          <w:sz w:val="20"/>
          <w:szCs w:val="20"/>
          <w:color w:val="auto"/>
        </w:rPr>
      </w:pPr>
    </w:p>
    <w:p>
      <w:pPr>
        <w:spacing w:after="0" w:line="375" w:lineRule="exact"/>
        <w:rPr>
          <w:sz w:val="20"/>
          <w:szCs w:val="20"/>
          <w:color w:val="auto"/>
        </w:rPr>
      </w:pPr>
    </w:p>
    <w:p>
      <w:pPr>
        <w:ind w:right="520"/>
        <w:spacing w:after="0" w:line="229" w:lineRule="auto"/>
        <w:rPr>
          <w:sz w:val="20"/>
          <w:szCs w:val="20"/>
          <w:color w:val="auto"/>
        </w:rPr>
      </w:pPr>
      <w:r>
        <w:rPr>
          <w:rFonts w:ascii="Arial" w:cs="Arial" w:eastAsia="Arial" w:hAnsi="Arial"/>
          <w:sz w:val="20"/>
          <w:szCs w:val="20"/>
          <w:color w:val="221E1F"/>
        </w:rPr>
        <w:t>A Participant will not receive Retirement treatment with respect to any Award in the event of involuntary termination by the Company for Cause.</w:t>
      </w:r>
    </w:p>
    <w:p>
      <w:pPr>
        <w:spacing w:after="0" w:line="182" w:lineRule="exact"/>
        <w:rPr>
          <w:sz w:val="20"/>
          <w:szCs w:val="20"/>
          <w:color w:val="auto"/>
        </w:rPr>
      </w:pPr>
    </w:p>
    <w:p>
      <w:pPr>
        <w:ind w:right="120"/>
        <w:spacing w:after="0" w:line="223" w:lineRule="auto"/>
        <w:rPr>
          <w:sz w:val="20"/>
          <w:szCs w:val="20"/>
          <w:color w:val="auto"/>
        </w:rPr>
      </w:pPr>
      <w:r>
        <w:rPr>
          <w:rFonts w:ascii="Arial" w:cs="Arial" w:eastAsia="Arial" w:hAnsi="Arial"/>
          <w:sz w:val="20"/>
          <w:szCs w:val="20"/>
          <w:color w:val="auto"/>
        </w:rPr>
        <w:t>Service used to determine eligibility for Normal or Early Retirement means “Continuous Service” as determined under the UTC Employee Retire ment Plan. The calculation to determine Early Retirement will include partial years, rounded down to the nearest full month.</w:t>
      </w:r>
    </w:p>
    <w:p>
      <w:pPr>
        <w:spacing w:after="0" w:line="172" w:lineRule="exact"/>
        <w:rPr>
          <w:sz w:val="20"/>
          <w:szCs w:val="20"/>
          <w:color w:val="auto"/>
        </w:rPr>
      </w:pPr>
    </w:p>
    <w:p>
      <w:pPr>
        <w:ind w:right="60"/>
        <w:spacing w:after="0" w:line="247" w:lineRule="auto"/>
        <w:rPr>
          <w:sz w:val="20"/>
          <w:szCs w:val="20"/>
          <w:color w:val="auto"/>
        </w:rPr>
      </w:pPr>
      <w:r>
        <w:rPr>
          <w:rFonts w:ascii="Arial" w:cs="Arial" w:eastAsia="Arial" w:hAnsi="Arial"/>
          <w:sz w:val="20"/>
          <w:szCs w:val="20"/>
          <w:b w:val="1"/>
          <w:bCs w:val="1"/>
          <w:color w:val="221E1F"/>
        </w:rPr>
        <w:t xml:space="preserve">Involuntary Termination for Cause. </w:t>
      </w:r>
      <w:r>
        <w:rPr>
          <w:rFonts w:ascii="Arial" w:cs="Arial" w:eastAsia="Arial" w:hAnsi="Arial"/>
          <w:sz w:val="20"/>
          <w:szCs w:val="20"/>
          <w:color w:val="221E1F"/>
        </w:rPr>
        <w:t>If the Participant’s termination results from an involuntary termination by the Company for</w:t>
      </w:r>
      <w:r>
        <w:rPr>
          <w:rFonts w:ascii="Arial" w:cs="Arial" w:eastAsia="Arial" w:hAnsi="Arial"/>
          <w:sz w:val="20"/>
          <w:szCs w:val="20"/>
          <w:b w:val="1"/>
          <w:bCs w:val="1"/>
          <w:color w:val="221E1F"/>
        </w:rPr>
        <w:t xml:space="preserve"> </w:t>
      </w:r>
      <w:r>
        <w:rPr>
          <w:rFonts w:ascii="Arial" w:cs="Arial" w:eastAsia="Arial" w:hAnsi="Arial"/>
          <w:sz w:val="20"/>
          <w:szCs w:val="20"/>
          <w:color w:val="221E1F"/>
        </w:rPr>
        <w:t>Cause (as defined in the LTIP), both vested and unvested SARs will be forfeited as of the Termination Date regardless of the Participant’s Retirement eligibility. In addition, value realized from previously exercised SARs is subject to repayment in the event of termination for Cause or certain other occurrences (see “Forfeiture of Award and Repayment of Realized Gains” below).</w:t>
      </w:r>
    </w:p>
    <w:p>
      <w:pPr>
        <w:spacing w:after="0" w:line="207" w:lineRule="exact"/>
        <w:rPr>
          <w:sz w:val="20"/>
          <w:szCs w:val="20"/>
          <w:color w:val="auto"/>
        </w:rPr>
      </w:pPr>
    </w:p>
    <w:p>
      <w:pPr>
        <w:ind w:right="20"/>
        <w:spacing w:after="0" w:line="245" w:lineRule="auto"/>
        <w:rPr>
          <w:sz w:val="20"/>
          <w:szCs w:val="20"/>
          <w:color w:val="auto"/>
        </w:rPr>
      </w:pPr>
      <w:r>
        <w:rPr>
          <w:rFonts w:ascii="Arial" w:cs="Arial" w:eastAsia="Arial" w:hAnsi="Arial"/>
          <w:sz w:val="20"/>
          <w:szCs w:val="20"/>
          <w:b w:val="1"/>
          <w:bCs w:val="1"/>
          <w:color w:val="221E1F"/>
        </w:rPr>
        <w:t xml:space="preserve">Involuntary Termination. </w:t>
      </w:r>
      <w:r>
        <w:rPr>
          <w:rFonts w:ascii="Arial" w:cs="Arial" w:eastAsia="Arial" w:hAnsi="Arial"/>
          <w:sz w:val="20"/>
          <w:szCs w:val="20"/>
          <w:color w:val="221E1F"/>
        </w:rPr>
        <w:t>If the Participant’s termination results from an involuntary termination by the Company for reasons</w:t>
      </w:r>
      <w:r>
        <w:rPr>
          <w:rFonts w:ascii="Arial" w:cs="Arial" w:eastAsia="Arial" w:hAnsi="Arial"/>
          <w:sz w:val="20"/>
          <w:szCs w:val="20"/>
          <w:b w:val="1"/>
          <w:bCs w:val="1"/>
          <w:color w:val="221E1F"/>
        </w:rPr>
        <w:t xml:space="preserve"> </w:t>
      </w:r>
      <w:r>
        <w:rPr>
          <w:rFonts w:ascii="Arial" w:cs="Arial" w:eastAsia="Arial" w:hAnsi="Arial"/>
          <w:sz w:val="20"/>
          <w:szCs w:val="20"/>
          <w:color w:val="221E1F"/>
        </w:rPr>
        <w:t>other than Cause, unvested SARs held for at least one year as of the Termination Date will receive pro-rata vesting treatment, subject to the Participant providing the Company with a release of claims against the Company in a form and manner satisfactory to the Company. The pro-rata vesting of a SAR Award held for at least one year will be based on the number of months worked during the vesting period, including partial months, relative to the full vesting period. SARs not vested under this pro-rata vesting formula will be forfeited as of the Termination Date.</w:t>
      </w:r>
    </w:p>
    <w:p>
      <w:pPr>
        <w:spacing w:after="0" w:line="235" w:lineRule="exact"/>
        <w:rPr>
          <w:sz w:val="20"/>
          <w:szCs w:val="20"/>
          <w:color w:val="auto"/>
        </w:rPr>
      </w:pPr>
    </w:p>
    <w:p>
      <w:pPr>
        <w:spacing w:after="0" w:line="258" w:lineRule="auto"/>
        <w:rPr>
          <w:sz w:val="20"/>
          <w:szCs w:val="20"/>
          <w:color w:val="auto"/>
        </w:rPr>
      </w:pPr>
      <w:r>
        <w:rPr>
          <w:rFonts w:ascii="Arial" w:cs="Arial" w:eastAsia="Arial" w:hAnsi="Arial"/>
          <w:sz w:val="19"/>
          <w:szCs w:val="19"/>
          <w:color w:val="221E1F"/>
        </w:rPr>
        <w:t>Upon involuntary termination for reasons other than Cause, vested SARs may be exercised for one (1) year following the Termination Date or until the expiration of the SAR, whichever is earlier. Unexercised SARs will expire without value at the close of the NYSE on the first anniversary of the Termination Date, or the expiration date, whichever comes first. In the event that the date falls on a weekend or market holiday, the SARs will be cancelled at the end of the last trading day prior to such date.</w:t>
      </w:r>
    </w:p>
    <w:p>
      <w:pPr>
        <w:sectPr>
          <w:pgSz w:w="11900" w:h="16838" w:orient="portrait"/>
          <w:cols w:equalWidth="0" w:num="1">
            <w:col w:w="11180"/>
          </w:cols>
          <w:pgMar w:left="320" w:top="63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4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180"/>
          </w:cols>
          <w:pgMar w:left="320" w:top="630" w:right="399" w:bottom="1440" w:gutter="0" w:footer="0" w:header="0"/>
          <w:type w:val="continuous"/>
        </w:sectPr>
      </w:pPr>
    </w:p>
    <w:bookmarkStart w:id="127" w:name="page128"/>
    <w:bookmarkEnd w:id="127"/>
    <w:p>
      <w:pPr>
        <w:jc w:val="center"/>
        <w:ind w:right="-19"/>
        <w:spacing w:after="0"/>
        <w:rPr>
          <w:sz w:val="20"/>
          <w:szCs w:val="20"/>
          <w:color w:val="auto"/>
        </w:rPr>
      </w:pPr>
      <w:r>
        <w:rPr>
          <w:rFonts w:ascii="Arial" w:cs="Arial" w:eastAsia="Arial" w:hAnsi="Arial"/>
          <w:sz w:val="14"/>
          <w:szCs w:val="14"/>
          <w:color w:val="auto"/>
        </w:rPr>
        <w:t>Internal Use Only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280"/>
        <w:spacing w:after="0" w:line="246" w:lineRule="auto"/>
        <w:rPr>
          <w:sz w:val="20"/>
          <w:szCs w:val="20"/>
          <w:color w:val="auto"/>
        </w:rPr>
      </w:pPr>
      <w:r>
        <w:rPr>
          <w:rFonts w:ascii="Arial" w:cs="Arial" w:eastAsia="Arial" w:hAnsi="Arial"/>
          <w:sz w:val="20"/>
          <w:szCs w:val="20"/>
          <w:color w:val="221E1F"/>
        </w:rPr>
        <w:t>Absences from employment because of notice periods, garden leaves, or similar paid leaves associated with a Termination of Service will not be recognized as service in determining the pro-rata vesting percentage.</w:t>
      </w:r>
    </w:p>
    <w:p>
      <w:pPr>
        <w:spacing w:after="0" w:line="231" w:lineRule="exact"/>
        <w:rPr>
          <w:sz w:val="20"/>
          <w:szCs w:val="20"/>
          <w:color w:val="auto"/>
        </w:rPr>
      </w:pPr>
    </w:p>
    <w:p>
      <w:pPr>
        <w:ind w:right="480"/>
        <w:spacing w:after="0" w:line="246" w:lineRule="auto"/>
        <w:rPr>
          <w:sz w:val="20"/>
          <w:szCs w:val="20"/>
          <w:color w:val="auto"/>
        </w:rPr>
      </w:pPr>
      <w:r>
        <w:rPr>
          <w:rFonts w:ascii="Arial" w:cs="Arial" w:eastAsia="Arial" w:hAnsi="Arial"/>
          <w:sz w:val="20"/>
          <w:szCs w:val="20"/>
          <w:color w:val="221E1F"/>
        </w:rPr>
        <w:t>Pro-rata vesting will occur for involuntary terminations resulting from workforce reductions, location closings, restructurings, layoffs, or similar events, as determined by the Committee.</w:t>
      </w:r>
    </w:p>
    <w:p>
      <w:pPr>
        <w:spacing w:after="0" w:line="231" w:lineRule="exact"/>
        <w:rPr>
          <w:sz w:val="20"/>
          <w:szCs w:val="20"/>
          <w:color w:val="auto"/>
        </w:rPr>
      </w:pPr>
    </w:p>
    <w:p>
      <w:pPr>
        <w:jc w:val="both"/>
        <w:ind w:right="680"/>
        <w:spacing w:after="0" w:line="239" w:lineRule="auto"/>
        <w:rPr>
          <w:sz w:val="20"/>
          <w:szCs w:val="20"/>
          <w:color w:val="auto"/>
        </w:rPr>
      </w:pPr>
      <w:r>
        <w:rPr>
          <w:rFonts w:ascii="Arial" w:cs="Arial" w:eastAsia="Arial" w:hAnsi="Arial"/>
          <w:sz w:val="20"/>
          <w:szCs w:val="20"/>
          <w:color w:val="auto"/>
        </w:rPr>
        <w:t xml:space="preserve">Retirement eligible Participants will vest in accordance with the Retirement provisions set forth above. Change-in-Control Terminations are subject to vesting treatment as set forth in the Change-in-Control provisions below. </w:t>
      </w:r>
      <w:r>
        <w:rPr>
          <w:rFonts w:ascii="Arial" w:cs="Arial" w:eastAsia="Arial" w:hAnsi="Arial"/>
          <w:sz w:val="20"/>
          <w:szCs w:val="20"/>
          <w:color w:val="221E1F"/>
        </w:rPr>
        <w:t>A Participant who is</w:t>
      </w:r>
      <w:r>
        <w:rPr>
          <w:rFonts w:ascii="Arial" w:cs="Arial" w:eastAsia="Arial" w:hAnsi="Arial"/>
          <w:sz w:val="20"/>
          <w:szCs w:val="20"/>
          <w:color w:val="auto"/>
        </w:rPr>
        <w:t xml:space="preserve"> </w:t>
      </w:r>
      <w:r>
        <w:rPr>
          <w:rFonts w:ascii="Arial" w:cs="Arial" w:eastAsia="Arial" w:hAnsi="Arial"/>
          <w:sz w:val="20"/>
          <w:szCs w:val="20"/>
          <w:color w:val="221E1F"/>
        </w:rPr>
        <w:t>involuntarily terminated for Cause is not eligible for pro-rata vesting of Awards.</w:t>
      </w:r>
    </w:p>
    <w:p>
      <w:pPr>
        <w:spacing w:after="0" w:line="1" w:lineRule="exact"/>
        <w:rPr>
          <w:sz w:val="20"/>
          <w:szCs w:val="20"/>
          <w:color w:val="auto"/>
        </w:rPr>
      </w:pPr>
    </w:p>
    <w:p>
      <w:pPr>
        <w:ind w:right="60"/>
        <w:spacing w:after="0" w:line="252" w:lineRule="auto"/>
        <w:rPr>
          <w:sz w:val="20"/>
          <w:szCs w:val="20"/>
          <w:color w:val="auto"/>
        </w:rPr>
      </w:pPr>
      <w:r>
        <w:rPr>
          <w:rFonts w:ascii="Arial" w:cs="Arial" w:eastAsia="Arial" w:hAnsi="Arial"/>
          <w:sz w:val="19"/>
          <w:szCs w:val="19"/>
          <w:b w:val="1"/>
          <w:bCs w:val="1"/>
          <w:color w:val="221E1F"/>
        </w:rPr>
        <w:t xml:space="preserve">Voluntary Termination. </w:t>
      </w:r>
      <w:r>
        <w:rPr>
          <w:rFonts w:ascii="Arial" w:cs="Arial" w:eastAsia="Arial" w:hAnsi="Arial"/>
          <w:sz w:val="19"/>
          <w:szCs w:val="19"/>
          <w:color w:val="221E1F"/>
        </w:rPr>
        <w:t>A Participant who voluntarily terminates employment (other than for Retirement or a Change-in-Control</w:t>
      </w:r>
      <w:r>
        <w:rPr>
          <w:rFonts w:ascii="Arial" w:cs="Arial" w:eastAsia="Arial" w:hAnsi="Arial"/>
          <w:sz w:val="19"/>
          <w:szCs w:val="19"/>
          <w:b w:val="1"/>
          <w:bCs w:val="1"/>
          <w:color w:val="221E1F"/>
        </w:rPr>
        <w:t xml:space="preserve"> </w:t>
      </w:r>
      <w:r>
        <w:rPr>
          <w:rFonts w:ascii="Arial" w:cs="Arial" w:eastAsia="Arial" w:hAnsi="Arial"/>
          <w:sz w:val="19"/>
          <w:szCs w:val="19"/>
          <w:color w:val="221E1F"/>
        </w:rPr>
        <w:t>Termination) is not entitled to pro-rata vesting and will forfeit all unvested SARs. Vested SARs may be exercised for up to ninety</w:t>
      </w:r>
    </w:p>
    <w:p>
      <w:pPr>
        <w:ind w:right="20" w:firstLine="8"/>
        <w:spacing w:after="0" w:line="235" w:lineRule="auto"/>
        <w:tabs>
          <w:tab w:leader="none" w:pos="407" w:val="left"/>
        </w:tabs>
        <w:numPr>
          <w:ilvl w:val="0"/>
          <w:numId w:val="94"/>
        </w:numPr>
        <w:rPr>
          <w:rFonts w:ascii="Arial" w:cs="Arial" w:eastAsia="Arial" w:hAnsi="Arial"/>
          <w:sz w:val="20"/>
          <w:szCs w:val="20"/>
          <w:color w:val="221E1F"/>
        </w:rPr>
      </w:pPr>
      <w:r>
        <w:rPr>
          <w:rFonts w:ascii="Arial" w:cs="Arial" w:eastAsia="Arial" w:hAnsi="Arial"/>
          <w:sz w:val="20"/>
          <w:szCs w:val="20"/>
          <w:color w:val="221E1F"/>
        </w:rPr>
        <w:t>days from the Termination Date or until the expiration of the SAR (if earlier). Unexercised SARs will expire without value at the close of the NYSE on the ninetieth (90</w:t>
      </w:r>
      <w:r>
        <w:rPr>
          <w:rFonts w:ascii="Arial" w:cs="Arial" w:eastAsia="Arial" w:hAnsi="Arial"/>
          <w:sz w:val="12"/>
          <w:szCs w:val="12"/>
          <w:color w:val="221E1F"/>
        </w:rPr>
        <w:t>th</w:t>
      </w:r>
      <w:r>
        <w:rPr>
          <w:rFonts w:ascii="Arial" w:cs="Arial" w:eastAsia="Arial" w:hAnsi="Arial"/>
          <w:sz w:val="20"/>
          <w:szCs w:val="20"/>
          <w:color w:val="221E1F"/>
        </w:rPr>
        <w:t>) day following the Termination Date, or the expiration date, whichever comes first. In the event that the date falls on a weekend or market holiday, the SARs will be cancelled at the end of the last trading day prior to the 90</w:t>
      </w:r>
      <w:r>
        <w:rPr>
          <w:rFonts w:ascii="Arial" w:cs="Arial" w:eastAsia="Arial" w:hAnsi="Arial"/>
          <w:sz w:val="12"/>
          <w:szCs w:val="12"/>
          <w:color w:val="221E1F"/>
        </w:rPr>
        <w:t>th</w:t>
      </w:r>
      <w:r>
        <w:rPr>
          <w:rFonts w:ascii="Arial" w:cs="Arial" w:eastAsia="Arial" w:hAnsi="Arial"/>
          <w:sz w:val="20"/>
          <w:szCs w:val="20"/>
          <w:color w:val="221E1F"/>
        </w:rPr>
        <w:t xml:space="preserve"> day.</w:t>
      </w:r>
    </w:p>
    <w:p>
      <w:pPr>
        <w:spacing w:after="0" w:line="3" w:lineRule="exact"/>
        <w:rPr>
          <w:rFonts w:ascii="Arial" w:cs="Arial" w:eastAsia="Arial" w:hAnsi="Arial"/>
          <w:sz w:val="20"/>
          <w:szCs w:val="20"/>
          <w:color w:val="221E1F"/>
        </w:rPr>
      </w:pPr>
    </w:p>
    <w:p>
      <w:pPr>
        <w:ind w:right="160"/>
        <w:spacing w:after="0" w:line="222" w:lineRule="auto"/>
        <w:rPr>
          <w:rFonts w:ascii="Arial" w:cs="Arial" w:eastAsia="Arial" w:hAnsi="Arial"/>
          <w:sz w:val="20"/>
          <w:szCs w:val="20"/>
          <w:color w:val="221E1F"/>
        </w:rPr>
      </w:pPr>
      <w:r>
        <w:rPr>
          <w:rFonts w:ascii="Arial" w:cs="Arial" w:eastAsia="Arial" w:hAnsi="Arial"/>
          <w:sz w:val="19"/>
          <w:szCs w:val="19"/>
          <w:b w:val="1"/>
          <w:bCs w:val="1"/>
          <w:color w:val="221E1F"/>
        </w:rPr>
        <w:t xml:space="preserve">Disability. </w:t>
      </w:r>
      <w:r>
        <w:rPr>
          <w:rFonts w:ascii="Arial" w:cs="Arial" w:eastAsia="Arial" w:hAnsi="Arial"/>
          <w:sz w:val="19"/>
          <w:szCs w:val="19"/>
          <w:color w:val="221E1F"/>
        </w:rPr>
        <w:t>If a Participant incurs a Disability (as defined in the LTIP), vested SARs may be exercised for up to three (3) years</w:t>
      </w:r>
      <w:r>
        <w:rPr>
          <w:rFonts w:ascii="Arial" w:cs="Arial" w:eastAsia="Arial" w:hAnsi="Arial"/>
          <w:sz w:val="19"/>
          <w:szCs w:val="19"/>
          <w:b w:val="1"/>
          <w:bCs w:val="1"/>
          <w:color w:val="221E1F"/>
        </w:rPr>
        <w:t xml:space="preserve"> </w:t>
      </w:r>
      <w:r>
        <w:rPr>
          <w:rFonts w:ascii="Arial" w:cs="Arial" w:eastAsia="Arial" w:hAnsi="Arial"/>
          <w:sz w:val="19"/>
          <w:szCs w:val="19"/>
          <w:color w:val="221E1F"/>
        </w:rPr>
        <w:t>from the Termination Date (or until the expiration of the SAR, if earlier). While a Participant remains disabled under a Company sponsored long-term disability plan, unvested SARs will remain eligible to vest on the earlier of (i) the vesting date specified in the Award Agreement; or (ii) 29 months following the date a Participant incurs a Disability, and may then be exercised for three</w:t>
      </w:r>
    </w:p>
    <w:p>
      <w:pPr>
        <w:spacing w:after="0" w:line="1" w:lineRule="exact"/>
        <w:rPr>
          <w:rFonts w:ascii="Arial" w:cs="Arial" w:eastAsia="Arial" w:hAnsi="Arial"/>
          <w:sz w:val="20"/>
          <w:szCs w:val="20"/>
          <w:color w:val="221E1F"/>
        </w:rPr>
      </w:pPr>
    </w:p>
    <w:p>
      <w:pPr>
        <w:ind w:left="300" w:hanging="292"/>
        <w:spacing w:after="0"/>
        <w:tabs>
          <w:tab w:leader="none" w:pos="300" w:val="left"/>
        </w:tabs>
        <w:numPr>
          <w:ilvl w:val="0"/>
          <w:numId w:val="95"/>
        </w:numPr>
        <w:rPr>
          <w:rFonts w:ascii="Arial" w:cs="Arial" w:eastAsia="Arial" w:hAnsi="Arial"/>
          <w:sz w:val="20"/>
          <w:szCs w:val="20"/>
          <w:color w:val="221E1F"/>
        </w:rPr>
      </w:pPr>
      <w:r>
        <w:rPr>
          <w:rFonts w:ascii="Arial" w:cs="Arial" w:eastAsia="Arial" w:hAnsi="Arial"/>
          <w:sz w:val="20"/>
          <w:szCs w:val="20"/>
          <w:color w:val="221E1F"/>
        </w:rPr>
        <w:t>years following the vesting date.</w:t>
      </w:r>
    </w:p>
    <w:p>
      <w:pPr>
        <w:spacing w:after="0" w:line="165" w:lineRule="exact"/>
        <w:rPr>
          <w:sz w:val="20"/>
          <w:szCs w:val="20"/>
          <w:color w:val="auto"/>
        </w:rPr>
      </w:pPr>
    </w:p>
    <w:p>
      <w:pPr>
        <w:ind w:right="20"/>
        <w:spacing w:after="0" w:line="223" w:lineRule="auto"/>
        <w:rPr>
          <w:sz w:val="20"/>
          <w:szCs w:val="20"/>
          <w:color w:val="auto"/>
        </w:rPr>
      </w:pPr>
      <w:r>
        <w:rPr>
          <w:rFonts w:ascii="Arial" w:cs="Arial" w:eastAsia="Arial" w:hAnsi="Arial"/>
          <w:sz w:val="20"/>
          <w:szCs w:val="20"/>
          <w:b w:val="1"/>
          <w:bCs w:val="1"/>
          <w:color w:val="221E1F"/>
        </w:rPr>
        <w:t xml:space="preserve">Death. </w:t>
      </w:r>
      <w:r>
        <w:rPr>
          <w:rFonts w:ascii="Arial" w:cs="Arial" w:eastAsia="Arial" w:hAnsi="Arial"/>
          <w:sz w:val="20"/>
          <w:szCs w:val="20"/>
          <w:color w:val="221E1F"/>
        </w:rPr>
        <w:t>If a Participant dies while actively employed by the Company, or on Disability, all unvested SARs will vest as of the date</w:t>
      </w:r>
      <w:r>
        <w:rPr>
          <w:rFonts w:ascii="Arial" w:cs="Arial" w:eastAsia="Arial" w:hAnsi="Arial"/>
          <w:sz w:val="20"/>
          <w:szCs w:val="20"/>
          <w:b w:val="1"/>
          <w:bCs w:val="1"/>
          <w:color w:val="221E1F"/>
        </w:rPr>
        <w:t xml:space="preserve"> </w:t>
      </w:r>
      <w:r>
        <w:rPr>
          <w:rFonts w:ascii="Arial" w:cs="Arial" w:eastAsia="Arial" w:hAnsi="Arial"/>
          <w:sz w:val="20"/>
          <w:szCs w:val="20"/>
          <w:color w:val="221E1F"/>
        </w:rPr>
        <w:t>of death and become exercisable. A Participant’s estate will have three (3) years from the date of death (or until the expiration of the SAR, if earlier) to exercise all outstanding SARs, provided however, that if a SAR expires prior to the expiration of the three-year extension period, the SAR will be deemed to be exercised by the Participant’s estate as of the SAR expiration date with net proceeds (where applicable) held for distribution to the estate.</w:t>
      </w:r>
    </w:p>
    <w:p>
      <w:pPr>
        <w:spacing w:after="0" w:line="184" w:lineRule="exact"/>
        <w:rPr>
          <w:sz w:val="20"/>
          <w:szCs w:val="20"/>
          <w:color w:val="auto"/>
        </w:rPr>
      </w:pPr>
    </w:p>
    <w:p>
      <w:pPr>
        <w:spacing w:after="0" w:line="229" w:lineRule="auto"/>
        <w:rPr>
          <w:sz w:val="20"/>
          <w:szCs w:val="20"/>
          <w:color w:val="auto"/>
        </w:rPr>
      </w:pPr>
      <w:r>
        <w:rPr>
          <w:rFonts w:ascii="Arial" w:cs="Arial" w:eastAsia="Arial" w:hAnsi="Arial"/>
          <w:sz w:val="20"/>
          <w:szCs w:val="20"/>
          <w:color w:val="221E1F"/>
        </w:rPr>
        <w:t>Different tax rules may apply when the estate or heir exercises the deceased Participant’s SARs. A personal tax or financial advisor should be consulted under this scenario.</w:t>
      </w:r>
    </w:p>
    <w:p>
      <w:pPr>
        <w:spacing w:after="0" w:line="158" w:lineRule="exact"/>
        <w:rPr>
          <w:sz w:val="20"/>
          <w:szCs w:val="20"/>
          <w:color w:val="auto"/>
        </w:rPr>
      </w:pPr>
    </w:p>
    <w:p>
      <w:pPr>
        <w:ind w:right="160"/>
        <w:spacing w:after="0" w:line="223" w:lineRule="auto"/>
        <w:rPr>
          <w:sz w:val="20"/>
          <w:szCs w:val="20"/>
          <w:color w:val="auto"/>
        </w:rPr>
      </w:pPr>
      <w:r>
        <w:rPr>
          <w:rFonts w:ascii="Arial" w:cs="Arial" w:eastAsia="Arial" w:hAnsi="Arial"/>
          <w:sz w:val="20"/>
          <w:szCs w:val="20"/>
          <w:b w:val="1"/>
          <w:bCs w:val="1"/>
          <w:color w:val="auto"/>
        </w:rPr>
        <w:t xml:space="preserve">Change-in-Control Termination. </w:t>
      </w:r>
      <w:r>
        <w:rPr>
          <w:rFonts w:ascii="Arial" w:cs="Arial" w:eastAsia="Arial" w:hAnsi="Arial"/>
          <w:sz w:val="20"/>
          <w:szCs w:val="20"/>
          <w:color w:val="auto"/>
        </w:rPr>
        <w:t>If a Participant’s termination results from an involuntary termination by the Company for</w:t>
      </w:r>
      <w:r>
        <w:rPr>
          <w:rFonts w:ascii="Arial" w:cs="Arial" w:eastAsia="Arial" w:hAnsi="Arial"/>
          <w:sz w:val="20"/>
          <w:szCs w:val="20"/>
          <w:b w:val="1"/>
          <w:bCs w:val="1"/>
          <w:color w:val="auto"/>
        </w:rPr>
        <w:t xml:space="preserve"> </w:t>
      </w:r>
      <w:r>
        <w:rPr>
          <w:rFonts w:ascii="Arial" w:cs="Arial" w:eastAsia="Arial" w:hAnsi="Arial"/>
          <w:sz w:val="20"/>
          <w:szCs w:val="20"/>
          <w:color w:val="auto"/>
        </w:rPr>
        <w:t>reasons other than for Cause, or due to the Participant’s voluntary termination for “Good Reason,” in each case, within 24 months following a Change-in-Control in accordance with Section 10(d) of the LTIP (such Termination of Service, a “CIC Termination”), then all unvested SARs will vest and become exercisable as of the Termination Date and all vested SARs will be exercisable until the third anniversary of the Termination Date (or until the expiration of the SAR, if earlier).</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Forfeiture of Award and Repayment of Realized Gains</w:t>
      </w:r>
    </w:p>
    <w:p>
      <w:pPr>
        <w:spacing w:after="0" w:line="213" w:lineRule="exact"/>
        <w:rPr>
          <w:sz w:val="20"/>
          <w:szCs w:val="20"/>
          <w:color w:val="auto"/>
        </w:rPr>
      </w:pPr>
    </w:p>
    <w:p>
      <w:pPr>
        <w:ind w:right="500"/>
        <w:spacing w:after="0" w:line="229" w:lineRule="auto"/>
        <w:rPr>
          <w:sz w:val="20"/>
          <w:szCs w:val="20"/>
          <w:color w:val="auto"/>
        </w:rPr>
      </w:pPr>
      <w:r>
        <w:rPr>
          <w:rFonts w:ascii="Arial" w:cs="Arial" w:eastAsia="Arial" w:hAnsi="Arial"/>
          <w:sz w:val="20"/>
          <w:szCs w:val="20"/>
          <w:color w:val="221E1F"/>
        </w:rPr>
        <w:t>SARs, whether or not vested, will be immediately for feited and a Participant will be obligated to repay to the Company the value realized from the prior exercise of SARs upon the occurrence of any of the following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4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630" w:right="3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4"/>
          <w:szCs w:val="14"/>
          <w:color w:val="auto"/>
        </w:rPr>
        <w:t>Internal Use Only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40" w:hanging="470"/>
        <w:spacing w:after="0"/>
        <w:tabs>
          <w:tab w:leader="none" w:pos="640" w:val="left"/>
        </w:tabs>
        <w:numPr>
          <w:ilvl w:val="0"/>
          <w:numId w:val="96"/>
        </w:numPr>
        <w:rPr>
          <w:rFonts w:ascii="Arial" w:cs="Arial" w:eastAsia="Arial" w:hAnsi="Arial"/>
          <w:sz w:val="20"/>
          <w:szCs w:val="20"/>
          <w:color w:val="auto"/>
        </w:rPr>
      </w:pPr>
      <w:r>
        <w:rPr>
          <w:rFonts w:ascii="Arial" w:cs="Arial" w:eastAsia="Arial" w:hAnsi="Arial"/>
          <w:sz w:val="20"/>
          <w:szCs w:val="20"/>
          <w:color w:val="auto"/>
        </w:rPr>
        <w:t>Termination for Cause (as defined in the LTIP);</w:t>
      </w:r>
    </w:p>
    <w:p>
      <w:pPr>
        <w:spacing w:after="0" w:line="188" w:lineRule="exact"/>
        <w:rPr>
          <w:rFonts w:ascii="Arial" w:cs="Arial" w:eastAsia="Arial" w:hAnsi="Arial"/>
          <w:sz w:val="20"/>
          <w:szCs w:val="20"/>
          <w:color w:val="auto"/>
        </w:rPr>
      </w:pPr>
    </w:p>
    <w:p>
      <w:pPr>
        <w:ind w:left="340" w:right="660" w:hanging="170"/>
        <w:spacing w:after="0" w:line="229" w:lineRule="auto"/>
        <w:tabs>
          <w:tab w:leader="none" w:pos="653" w:val="left"/>
        </w:tabs>
        <w:numPr>
          <w:ilvl w:val="0"/>
          <w:numId w:val="96"/>
        </w:numPr>
        <w:rPr>
          <w:rFonts w:ascii="Arial" w:cs="Arial" w:eastAsia="Arial" w:hAnsi="Arial"/>
          <w:sz w:val="20"/>
          <w:szCs w:val="20"/>
          <w:color w:val="auto"/>
        </w:rPr>
      </w:pPr>
      <w:r>
        <w:rPr>
          <w:rFonts w:ascii="Arial" w:cs="Arial" w:eastAsia="Arial" w:hAnsi="Arial"/>
          <w:sz w:val="20"/>
          <w:szCs w:val="20"/>
          <w:color w:val="auto"/>
        </w:rPr>
        <w:t>A determination that the Participant engaged in conduct that could have constituted the basis for a Termination for Cause, including determinations made within three years following the Termination Date;</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20"/>
          <w:szCs w:val="20"/>
          <w:color w:val="auto"/>
        </w:rPr>
        <w:t>c.Within twenty-four months following the Termination Date, the Participant:</w:t>
      </w:r>
    </w:p>
    <w:p>
      <w:pPr>
        <w:spacing w:after="0" w:line="189" w:lineRule="exact"/>
        <w:rPr>
          <w:sz w:val="20"/>
          <w:szCs w:val="20"/>
          <w:color w:val="auto"/>
        </w:rPr>
      </w:pPr>
    </w:p>
    <w:p>
      <w:pPr>
        <w:ind w:left="1140" w:right="80" w:hanging="583"/>
        <w:spacing w:after="0" w:line="229" w:lineRule="auto"/>
        <w:tabs>
          <w:tab w:leader="none" w:pos="1140" w:val="left"/>
        </w:tabs>
        <w:numPr>
          <w:ilvl w:val="0"/>
          <w:numId w:val="97"/>
        </w:numPr>
        <w:rPr>
          <w:rFonts w:ascii="Arial" w:cs="Arial" w:eastAsia="Arial" w:hAnsi="Arial"/>
          <w:sz w:val="20"/>
          <w:szCs w:val="20"/>
          <w:color w:val="auto"/>
        </w:rPr>
      </w:pPr>
      <w:r>
        <w:rPr>
          <w:rFonts w:ascii="Arial" w:cs="Arial" w:eastAsia="Arial" w:hAnsi="Arial"/>
          <w:sz w:val="20"/>
          <w:szCs w:val="20"/>
          <w:color w:val="auto"/>
        </w:rPr>
        <w:t>Solicits a Company employee, or individual who had been a Company employee within the previous three months, for an opportunity outside of the Company; or</w:t>
      </w:r>
    </w:p>
    <w:p>
      <w:pPr>
        <w:spacing w:after="0" w:line="182" w:lineRule="exact"/>
        <w:rPr>
          <w:rFonts w:ascii="Arial" w:cs="Arial" w:eastAsia="Arial" w:hAnsi="Arial"/>
          <w:sz w:val="20"/>
          <w:szCs w:val="20"/>
          <w:color w:val="auto"/>
        </w:rPr>
      </w:pPr>
    </w:p>
    <w:p>
      <w:pPr>
        <w:ind w:left="1140" w:right="40" w:hanging="627"/>
        <w:spacing w:after="0" w:line="229" w:lineRule="auto"/>
        <w:tabs>
          <w:tab w:leader="none" w:pos="1140" w:val="left"/>
        </w:tabs>
        <w:numPr>
          <w:ilvl w:val="0"/>
          <w:numId w:val="97"/>
        </w:numPr>
        <w:rPr>
          <w:rFonts w:ascii="Arial" w:cs="Arial" w:eastAsia="Arial" w:hAnsi="Arial"/>
          <w:sz w:val="20"/>
          <w:szCs w:val="20"/>
          <w:color w:val="auto"/>
        </w:rPr>
      </w:pPr>
      <w:r>
        <w:rPr>
          <w:rFonts w:ascii="Arial" w:cs="Arial" w:eastAsia="Arial" w:hAnsi="Arial"/>
          <w:sz w:val="20"/>
          <w:szCs w:val="20"/>
          <w:color w:val="auto"/>
        </w:rPr>
        <w:t>Publicly disparages the Company, its employees, directors, products, or otherwise makes a public statement that is materially detrimental to the interests of the Company or such individuals; or</w:t>
      </w:r>
    </w:p>
    <w:p>
      <w:pPr>
        <w:spacing w:after="0" w:line="182" w:lineRule="exact"/>
        <w:rPr>
          <w:sz w:val="20"/>
          <w:szCs w:val="20"/>
          <w:color w:val="auto"/>
        </w:rPr>
      </w:pPr>
    </w:p>
    <w:p>
      <w:pPr>
        <w:ind w:left="340" w:hanging="167"/>
        <w:spacing w:after="0" w:line="215" w:lineRule="auto"/>
        <w:rPr>
          <w:sz w:val="20"/>
          <w:szCs w:val="20"/>
          <w:color w:val="auto"/>
        </w:rPr>
      </w:pPr>
      <w:r>
        <w:rPr>
          <w:rFonts w:ascii="Arial" w:cs="Arial" w:eastAsia="Arial" w:hAnsi="Arial"/>
          <w:sz w:val="20"/>
          <w:szCs w:val="20"/>
          <w:color w:val="auto"/>
        </w:rPr>
        <w:t>d.</w:t>
      </w:r>
      <w:r>
        <w:rPr>
          <w:rFonts w:ascii="Arial" w:cs="Arial" w:eastAsia="Arial" w:hAnsi="Arial"/>
          <w:sz w:val="20"/>
          <w:szCs w:val="20"/>
          <w:u w:val="single" w:color="auto"/>
          <w:color w:val="auto"/>
        </w:rPr>
        <w:t>At any time during the twelve-month period following the Termination Date: (A) the Participant becomes employed by,</w:t>
      </w:r>
      <w:r>
        <w:rPr>
          <w:rFonts w:ascii="Arial" w:cs="Arial" w:eastAsia="Arial" w:hAnsi="Arial"/>
          <w:sz w:val="20"/>
          <w:szCs w:val="20"/>
          <w:color w:val="auto"/>
        </w:rPr>
        <w:t xml:space="preserve"> </w:t>
      </w:r>
      <w:r>
        <w:rPr>
          <w:rFonts w:ascii="Arial" w:cs="Arial" w:eastAsia="Arial" w:hAnsi="Arial"/>
          <w:sz w:val="20"/>
          <w:szCs w:val="20"/>
          <w:u w:val="single" w:color="auto"/>
          <w:color w:val="auto"/>
        </w:rPr>
        <w:t>consults for, or otherwise renders services to any business entity or person engaged in activities that compete with the Corporation or the business unit that employed the Participant; or</w:t>
      </w:r>
      <w:r>
        <w:rPr>
          <w:rFonts w:ascii="Arial" w:cs="Arial" w:eastAsia="Arial" w:hAnsi="Arial"/>
          <w:sz w:val="20"/>
          <w:szCs w:val="20"/>
          <w:color w:val="auto"/>
        </w:rPr>
        <w:t xml:space="preserve"> (B) that is a material customer of or a material supplier to the Corporation or the business unit that employed the Participant, </w:t>
      </w:r>
      <w:r>
        <w:rPr>
          <w:rFonts w:ascii="Arial" w:cs="Arial" w:eastAsia="Arial" w:hAnsi="Arial"/>
          <w:sz w:val="20"/>
          <w:szCs w:val="20"/>
          <w:u w:val="single" w:color="auto"/>
          <w:color w:val="auto"/>
        </w:rPr>
        <w:t>unless, in either case, the Participant has first obtained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the consent of</w:t>
      </w:r>
      <w:r>
        <w:rPr>
          <w:rFonts w:ascii="Arial" w:cs="Arial" w:eastAsia="Arial" w:hAnsi="Arial"/>
          <w:sz w:val="20"/>
          <w:szCs w:val="20"/>
          <w:color w:val="auto"/>
        </w:rPr>
        <w:t xml:space="preserve"> the Chief Human Resources Officer or her or his delegate. This restriction applies to competitors, customers, and suppliers of each business unit that employed the Participant within the two-year period prior to the Termination Date. The determination of status of competitors, customers, and suppliers will be made by the Chief Human Resources Officer (or her or his delegate) in her or his sole discretion.</w:t>
      </w:r>
    </w:p>
    <w:p>
      <w:pPr>
        <w:spacing w:after="0" w:line="188" w:lineRule="exact"/>
        <w:rPr>
          <w:sz w:val="20"/>
          <w:szCs w:val="20"/>
          <w:color w:val="auto"/>
        </w:rPr>
      </w:pPr>
    </w:p>
    <w:p>
      <w:pPr>
        <w:ind w:right="180"/>
        <w:spacing w:after="0" w:line="216" w:lineRule="auto"/>
        <w:rPr>
          <w:sz w:val="20"/>
          <w:szCs w:val="20"/>
          <w:color w:val="auto"/>
        </w:rPr>
      </w:pPr>
      <w:r>
        <w:rPr>
          <w:rFonts w:ascii="Arial" w:cs="Arial" w:eastAsia="Arial" w:hAnsi="Arial"/>
          <w:sz w:val="20"/>
          <w:szCs w:val="20"/>
          <w:color w:val="221E1F"/>
        </w:rPr>
        <w:t xml:space="preserve">The Participant agrees that the foregoing restrictions are reasonable and that the value of the LTIP awards is reasonable consideration for accepting such restrictions and forfeiture contingencies. However, if any portion of this section is held by competent authority to be unenforceable, this section shall be deemed amended to limit its scope to the broadest scope that such authority determines is enforceable, and as so amended shall continue in effect. The Participant acknowledges that this Award shall constitute compensation in satisfaction of these covenants. Further details concerning the forfeiture of Awards and the obligation to repay gains realized from LTIP Awards are set forth in Section 14(i) of the LTIP, which can be located at </w:t>
      </w:r>
      <w:r>
        <w:rPr>
          <w:rFonts w:ascii="Arial" w:cs="Arial" w:eastAsia="Arial" w:hAnsi="Arial"/>
          <w:sz w:val="20"/>
          <w:szCs w:val="20"/>
          <w:color w:val="000000"/>
        </w:rPr>
        <w:t>www.ubs.com/onesource/utx.</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Adjustments</w:t>
      </w:r>
    </w:p>
    <w:p>
      <w:pPr>
        <w:spacing w:after="0" w:line="213" w:lineRule="exact"/>
        <w:rPr>
          <w:sz w:val="20"/>
          <w:szCs w:val="20"/>
          <w:color w:val="auto"/>
        </w:rPr>
      </w:pPr>
    </w:p>
    <w:p>
      <w:pPr>
        <w:jc w:val="both"/>
        <w:ind w:right="400"/>
        <w:spacing w:after="0" w:line="235" w:lineRule="auto"/>
        <w:rPr>
          <w:sz w:val="20"/>
          <w:szCs w:val="20"/>
          <w:color w:val="auto"/>
        </w:rPr>
      </w:pPr>
      <w:r>
        <w:rPr>
          <w:rFonts w:ascii="Arial" w:cs="Arial" w:eastAsia="Arial" w:hAnsi="Arial"/>
          <w:sz w:val="19"/>
          <w:szCs w:val="19"/>
          <w:color w:val="221E1F"/>
        </w:rPr>
        <w:t>If the Corporation engages in a transaction affecting its capital structure, such as a merger, distribution of a special dividend, spin-off of a business unit, stock split, subdivision or consolidation of shares of Common Stock or other events affecting the value of Common Stock, SAR Awards may be adjusted as determined by the Committee, in its sole discretion.</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221E1F"/>
        </w:rPr>
        <w:t>Further information concerning capital adjustments is set forth in Section 3(e) of the LTIP, which can be located at</w:t>
      </w:r>
    </w:p>
    <w:p>
      <w:pPr>
        <w:spacing w:after="0"/>
        <w:rPr>
          <w:sz w:val="20"/>
          <w:szCs w:val="20"/>
          <w:color w:val="auto"/>
        </w:rPr>
      </w:pPr>
      <w:r>
        <w:rPr>
          <w:rFonts w:ascii="Arial" w:cs="Arial" w:eastAsia="Arial" w:hAnsi="Arial"/>
          <w:sz w:val="20"/>
          <w:szCs w:val="20"/>
          <w:u w:val="single" w:color="auto"/>
          <w:color w:val="0000FF"/>
        </w:rPr>
        <w:t>www.ubs.com/onesource/utx</w:t>
      </w:r>
      <w:r>
        <w:rPr>
          <w:rFonts w:ascii="Arial" w:cs="Arial" w:eastAsia="Arial" w:hAnsi="Arial"/>
          <w:sz w:val="20"/>
          <w:szCs w:val="20"/>
          <w:color w:val="000000"/>
        </w:rPr>
        <w: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Change-in-Control</w:t>
      </w:r>
    </w:p>
    <w:p>
      <w:pPr>
        <w:spacing w:after="0" w:line="213" w:lineRule="exact"/>
        <w:rPr>
          <w:sz w:val="20"/>
          <w:szCs w:val="20"/>
          <w:color w:val="auto"/>
        </w:rPr>
      </w:pPr>
    </w:p>
    <w:p>
      <w:pPr>
        <w:ind w:right="220"/>
        <w:spacing w:after="0" w:line="220" w:lineRule="auto"/>
        <w:rPr>
          <w:sz w:val="20"/>
          <w:szCs w:val="20"/>
          <w:color w:val="auto"/>
        </w:rPr>
      </w:pPr>
      <w:r>
        <w:rPr>
          <w:rFonts w:ascii="Arial" w:cs="Arial" w:eastAsia="Arial" w:hAnsi="Arial"/>
          <w:sz w:val="20"/>
          <w:szCs w:val="20"/>
          <w:color w:val="221E1F"/>
        </w:rPr>
        <w:t>In the event of a Change-in-Control or restructuring of the Company, the Committee may, in its sole discretion, take certain actions with respect to out standing Awards to assure fair and equitable treatment of LTIP Participants. Such actions may include the acceleration of vesting, canceling an outstanding Award in exchange for its equiv alent cash value (as determined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4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630" w:right="339" w:bottom="1440" w:gutter="0" w:footer="0" w:header="0"/>
        </w:sectPr>
      </w:pPr>
    </w:p>
    <w:bookmarkStart w:id="129" w:name="page130"/>
    <w:bookmarkEnd w:id="129"/>
    <w:p>
      <w:pPr>
        <w:jc w:val="center"/>
        <w:ind w:right="-19"/>
        <w:spacing w:after="0"/>
        <w:rPr>
          <w:sz w:val="20"/>
          <w:szCs w:val="20"/>
          <w:color w:val="auto"/>
        </w:rPr>
      </w:pPr>
      <w:r>
        <w:rPr>
          <w:rFonts w:ascii="Arial" w:cs="Arial" w:eastAsia="Arial" w:hAnsi="Arial"/>
          <w:sz w:val="14"/>
          <w:szCs w:val="14"/>
          <w:color w:val="auto"/>
        </w:rPr>
        <w:t>Internal Use Only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right="680"/>
        <w:spacing w:after="0" w:line="223" w:lineRule="auto"/>
        <w:rPr>
          <w:sz w:val="20"/>
          <w:szCs w:val="20"/>
          <w:color w:val="auto"/>
        </w:rPr>
      </w:pPr>
      <w:r>
        <w:rPr>
          <w:rFonts w:ascii="Arial" w:cs="Arial" w:eastAsia="Arial" w:hAnsi="Arial"/>
          <w:sz w:val="20"/>
          <w:szCs w:val="20"/>
          <w:color w:val="221E1F"/>
        </w:rPr>
        <w:t xml:space="preserve">the Committee), or providing for other adjustments or modifications to outstanding Awards as the Committee may deem appropriate. Further details concerning Change-in-Control are set forth in Section 10 of the LTIP, which can be located at </w:t>
      </w:r>
      <w:r>
        <w:rPr>
          <w:rFonts w:ascii="Arial" w:cs="Arial" w:eastAsia="Arial" w:hAnsi="Arial"/>
          <w:sz w:val="20"/>
          <w:szCs w:val="20"/>
          <w:u w:val="single" w:color="auto"/>
          <w:color w:val="0000FF"/>
        </w:rPr>
        <w:t>www.ubs.com/onesource/utx</w:t>
      </w:r>
      <w:r>
        <w:rPr>
          <w:rFonts w:ascii="Arial" w:cs="Arial" w:eastAsia="Arial" w:hAnsi="Arial"/>
          <w:sz w:val="20"/>
          <w:szCs w:val="20"/>
          <w:color w:val="000000"/>
        </w:rPr>
        <w:t>.</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Awards Not to Affect Certain Transactions</w:t>
      </w:r>
    </w:p>
    <w:p>
      <w:pPr>
        <w:spacing w:after="0" w:line="213" w:lineRule="exact"/>
        <w:rPr>
          <w:sz w:val="20"/>
          <w:szCs w:val="20"/>
          <w:color w:val="auto"/>
        </w:rPr>
      </w:pPr>
    </w:p>
    <w:p>
      <w:pPr>
        <w:ind w:right="300"/>
        <w:spacing w:after="0" w:line="230" w:lineRule="auto"/>
        <w:rPr>
          <w:sz w:val="20"/>
          <w:szCs w:val="20"/>
          <w:color w:val="auto"/>
        </w:rPr>
      </w:pPr>
      <w:r>
        <w:rPr>
          <w:rFonts w:ascii="Arial" w:cs="Arial" w:eastAsia="Arial" w:hAnsi="Arial"/>
          <w:sz w:val="19"/>
          <w:szCs w:val="19"/>
          <w:color w:val="221E1F"/>
        </w:rPr>
        <w:t>SAR Awards do not in any way affect the right of the Corporation or its shareowners to effect: (i) any adjustments, recapitalizations, reorganizations or other changes in the Corporation’s capital or business structure; (ii) any merger or consolidation of the Corporation; (iii) any issue of bonds, debentures, shares of stock preferred to, or otherwise affecting the Common Stock of the Corporation or the rights of the holders of such Common Stock; (iv) the dissolution or liquidation of the Corporation; (v) any sale or transfer of all or any part of its assets or business; or (vi) any other corpo rate act or proceeding.</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Taxes / Withholding</w:t>
      </w:r>
    </w:p>
    <w:p>
      <w:pPr>
        <w:spacing w:after="0" w:line="213" w:lineRule="exact"/>
        <w:rPr>
          <w:sz w:val="20"/>
          <w:szCs w:val="20"/>
          <w:color w:val="auto"/>
        </w:rPr>
      </w:pPr>
    </w:p>
    <w:p>
      <w:pPr>
        <w:spacing w:after="0" w:line="213" w:lineRule="auto"/>
        <w:rPr>
          <w:sz w:val="20"/>
          <w:szCs w:val="20"/>
          <w:color w:val="auto"/>
        </w:rPr>
      </w:pPr>
      <w:r>
        <w:rPr>
          <w:rFonts w:ascii="Arial" w:cs="Arial" w:eastAsia="Arial" w:hAnsi="Arial"/>
          <w:sz w:val="20"/>
          <w:szCs w:val="20"/>
          <w:color w:val="221E1F"/>
        </w:rPr>
        <w:t xml:space="preserve">The Participant is responsible for all income taxes, social insurance contributions, payroll taxes, payment on account or other tax-related items attributable to any Award (“Tax-Related Items”). The provisions of Section 14(d) (Required Taxes) of the LTIP apply to this Award; provided that, if the Participant is an individual covered under Section 16 of the Securities Exchange Act of 1934, as amended, at the time that a taxable event occurs, then the Company’s withholding obligations with respect to such taxable event will be satisfied by the Company withholding shares of Common Stock subject to the SAR Award having a Fair Market Value on the date of exercise equal to the amount required to be withheld for tax purposes (calculated using the minimum statutory withholding rate, except as otherwise approved by the Committee). The Company shall have the right to deduct directly from any payment or delivery of shares due to a Participant or from a Participant’s regular compensation to effect compliance with all Tax-Related Items, including withholding and reporting with respect to the exercise of any SAR. Acceptance of an Award constitutes affirmative consent by a Participant to such reporting and withholding. The Participant acknowledges that the ultimate liability for all Tax-Related Items is and remains the Participant’s responsibility and may exceed the amount actually withheld by the Company. </w:t>
      </w:r>
      <w:r>
        <w:rPr>
          <w:rFonts w:ascii="Arial" w:cs="Arial" w:eastAsia="Arial" w:hAnsi="Arial"/>
          <w:sz w:val="20"/>
          <w:szCs w:val="20"/>
          <w:color w:val="211F1F"/>
        </w:rPr>
        <w:t>Further, if the Participant has become subject to tax in more than one jurisdiction between the</w:t>
      </w:r>
      <w:r>
        <w:rPr>
          <w:rFonts w:ascii="Arial" w:cs="Arial" w:eastAsia="Arial" w:hAnsi="Arial"/>
          <w:sz w:val="20"/>
          <w:szCs w:val="20"/>
          <w:color w:val="221E1F"/>
        </w:rPr>
        <w:t xml:space="preserve"> </w:t>
      </w:r>
      <w:r>
        <w:rPr>
          <w:rFonts w:ascii="Arial" w:cs="Arial" w:eastAsia="Arial" w:hAnsi="Arial"/>
          <w:sz w:val="20"/>
          <w:szCs w:val="20"/>
          <w:color w:val="211F1F"/>
        </w:rPr>
        <w:t xml:space="preserve">date of grant and the date of any relevant taxable event, the Participant acknowledges that the Company may be required to withhold or account for Tax-Related Items in more than one jurisdiction. </w:t>
      </w:r>
      <w:r>
        <w:rPr>
          <w:rFonts w:ascii="Arial" w:cs="Arial" w:eastAsia="Arial" w:hAnsi="Arial"/>
          <w:sz w:val="20"/>
          <w:szCs w:val="20"/>
          <w:color w:val="221E1F"/>
        </w:rPr>
        <w:t>In those countries where there is no withholding on</w:t>
      </w:r>
      <w:r>
        <w:rPr>
          <w:rFonts w:ascii="Arial" w:cs="Arial" w:eastAsia="Arial" w:hAnsi="Arial"/>
          <w:sz w:val="20"/>
          <w:szCs w:val="20"/>
          <w:color w:val="211F1F"/>
        </w:rPr>
        <w:t xml:space="preserve"> </w:t>
      </w:r>
      <w:r>
        <w:rPr>
          <w:rFonts w:ascii="Arial" w:cs="Arial" w:eastAsia="Arial" w:hAnsi="Arial"/>
          <w:sz w:val="20"/>
          <w:szCs w:val="20"/>
          <w:color w:val="221E1F"/>
        </w:rPr>
        <w:t>account of such Tax-Related Items, Participants must pay the appro priate taxes as required by any country where they are subject to tax. In those instances where Company is required to calculate and remit withholding on Tax-Related Items after shares have already been delivered, the Participant shall pay the Company any amount of Tax-Related Items that the Company is required to pay. The Company may refuse to distribute an Award if a Participant fails to comply with his or her obligations in connection with Tax-Related Items.</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color w:val="211F1F"/>
        </w:rPr>
        <w:t>Important information about the U.S. Federal income tax consequences of LTIP Awards can be found in the LTIP Prospectus at</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www.ubs.com/onesource/utx.</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Nonassignability</w:t>
      </w:r>
    </w:p>
    <w:p>
      <w:pPr>
        <w:spacing w:after="0" w:line="213" w:lineRule="exact"/>
        <w:rPr>
          <w:sz w:val="20"/>
          <w:szCs w:val="20"/>
          <w:color w:val="auto"/>
        </w:rPr>
      </w:pPr>
    </w:p>
    <w:p>
      <w:pPr>
        <w:ind w:right="20"/>
        <w:spacing w:after="0" w:line="223" w:lineRule="auto"/>
        <w:rPr>
          <w:sz w:val="20"/>
          <w:szCs w:val="20"/>
          <w:color w:val="auto"/>
        </w:rPr>
      </w:pPr>
      <w:r>
        <w:rPr>
          <w:rFonts w:ascii="Arial" w:cs="Arial" w:eastAsia="Arial" w:hAnsi="Arial"/>
          <w:sz w:val="20"/>
          <w:szCs w:val="20"/>
          <w:color w:val="221E1F"/>
        </w:rPr>
        <w:t xml:space="preserve">Unless otherwise approved by the Committee or its delegate, no </w:t>
      </w:r>
      <w:r>
        <w:rPr>
          <w:rFonts w:ascii="Arial" w:cs="Arial" w:eastAsia="Arial" w:hAnsi="Arial"/>
          <w:sz w:val="20"/>
          <w:szCs w:val="20"/>
          <w:color w:val="000000"/>
        </w:rPr>
        <w:t>assignment or transfer of any right or interest of a Participant in</w:t>
      </w:r>
      <w:r>
        <w:rPr>
          <w:rFonts w:ascii="Arial" w:cs="Arial" w:eastAsia="Arial" w:hAnsi="Arial"/>
          <w:sz w:val="20"/>
          <w:szCs w:val="20"/>
          <w:color w:val="221E1F"/>
        </w:rPr>
        <w:t xml:space="preserve"> </w:t>
      </w:r>
      <w:r>
        <w:rPr>
          <w:rFonts w:ascii="Arial" w:cs="Arial" w:eastAsia="Arial" w:hAnsi="Arial"/>
          <w:sz w:val="20"/>
          <w:szCs w:val="20"/>
          <w:color w:val="000000"/>
        </w:rPr>
        <w:t xml:space="preserve">any SAR Award, whether voluntary or involuntary, by operation of law or otherwise, is permitted except by will or the laws of descent and distribution. Any other </w:t>
      </w:r>
      <w:r>
        <w:rPr>
          <w:rFonts w:ascii="Arial" w:cs="Arial" w:eastAsia="Arial" w:hAnsi="Arial"/>
          <w:sz w:val="20"/>
          <w:szCs w:val="20"/>
          <w:color w:val="221E1F"/>
        </w:rPr>
        <w:t>attempt to assign such rights or interest shall be void and without force or effect.</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Nature of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4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20"/>
          </w:cols>
          <w:pgMar w:left="320" w:top="630" w:right="35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4"/>
          <w:szCs w:val="14"/>
          <w:color w:val="auto"/>
        </w:rPr>
        <w:t>Internal Use Only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right="80"/>
        <w:spacing w:after="0" w:line="220" w:lineRule="auto"/>
        <w:rPr>
          <w:sz w:val="20"/>
          <w:szCs w:val="20"/>
          <w:color w:val="auto"/>
        </w:rPr>
      </w:pPr>
      <w:r>
        <w:rPr>
          <w:rFonts w:ascii="Arial" w:cs="Arial" w:eastAsia="Arial" w:hAnsi="Arial"/>
          <w:sz w:val="20"/>
          <w:szCs w:val="20"/>
          <w:color w:val="221E1F"/>
        </w:rPr>
        <w:t>All Awards made pursuant to the LTIP are in consideration of services performed for the Company. Any gains realized pursuant to such Awards constitute a special incentive payment to the Participant and will not be taken into account as compensation for purposes of any of the employee benefit plans of the Company. Awards are made at the discretion of the Committee. Receipt of a current Award does not guarantee receipt of a future Award.</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211E1F"/>
        </w:rPr>
        <w:t>Right of Discharge Reserved</w:t>
      </w:r>
    </w:p>
    <w:p>
      <w:pPr>
        <w:spacing w:after="0" w:line="213" w:lineRule="exact"/>
        <w:rPr>
          <w:sz w:val="20"/>
          <w:szCs w:val="20"/>
          <w:color w:val="auto"/>
        </w:rPr>
      </w:pPr>
    </w:p>
    <w:p>
      <w:pPr>
        <w:jc w:val="both"/>
        <w:ind w:right="40"/>
        <w:spacing w:after="0" w:line="223" w:lineRule="auto"/>
        <w:rPr>
          <w:sz w:val="20"/>
          <w:szCs w:val="20"/>
          <w:color w:val="auto"/>
        </w:rPr>
      </w:pPr>
      <w:r>
        <w:rPr>
          <w:rFonts w:ascii="Arial" w:cs="Arial" w:eastAsia="Arial" w:hAnsi="Arial"/>
          <w:sz w:val="20"/>
          <w:szCs w:val="20"/>
          <w:color w:val="211E1F"/>
        </w:rPr>
        <w:t>Nothing in the LTIP or in any SAR Award shall confer upon any Participant the right to continued employment or service for any period of time, or affect any right that the Company may have to terminate the employment of any Participant at any time for any reason.</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Administration</w:t>
      </w:r>
    </w:p>
    <w:p>
      <w:pPr>
        <w:spacing w:after="0" w:line="213" w:lineRule="exact"/>
        <w:rPr>
          <w:sz w:val="20"/>
          <w:szCs w:val="20"/>
          <w:color w:val="auto"/>
        </w:rPr>
      </w:pPr>
    </w:p>
    <w:p>
      <w:pPr>
        <w:spacing w:after="0" w:line="215" w:lineRule="auto"/>
        <w:rPr>
          <w:sz w:val="20"/>
          <w:szCs w:val="20"/>
          <w:color w:val="auto"/>
        </w:rPr>
      </w:pPr>
      <w:r>
        <w:rPr>
          <w:rFonts w:ascii="Arial" w:cs="Arial" w:eastAsia="Arial" w:hAnsi="Arial"/>
          <w:sz w:val="20"/>
          <w:szCs w:val="20"/>
          <w:color w:val="221E1F"/>
        </w:rPr>
        <w:t>The Board of Directors of the Corporation has delegated the administration and interpretation of the Awards granted pursuant to the LTIP to the Compensation Committee. The Committee establishes such procedures as it deems necessary and appropriate to administer Awards in a manner that is consistent with the terms of the LTIP. The Committee has, consistent with its charter and subject to certain limitations, delegated to the Chief Execu tive Officer and the Chief Human Resources Officer (and to such subordinates as he or she may further delegate) the authority to grant, administer, and interpret Awards, provided that, such delegation will not apply with respect to employees of the Company who are covered under Section 16 of the Securities Exchange Act of 1934, as amended, and to members of the Company’s Executive Leadership Group. Awards to these individuals will be granted, administered, and interpreted exclusively by the Committee. The Committee’s decision or that of its delegate on any matter related to an Award shall be binding, final, and conclusive on all parties in interest.</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Privacy</w:t>
      </w:r>
    </w:p>
    <w:p>
      <w:pPr>
        <w:spacing w:after="0" w:line="213" w:lineRule="exact"/>
        <w:rPr>
          <w:sz w:val="20"/>
          <w:szCs w:val="20"/>
          <w:color w:val="auto"/>
        </w:rPr>
      </w:pPr>
    </w:p>
    <w:p>
      <w:pPr>
        <w:ind w:right="80"/>
        <w:spacing w:after="0" w:line="216" w:lineRule="auto"/>
        <w:rPr>
          <w:sz w:val="20"/>
          <w:szCs w:val="20"/>
          <w:color w:val="auto"/>
        </w:rPr>
      </w:pPr>
      <w:r>
        <w:rPr>
          <w:rFonts w:ascii="Arial" w:cs="Arial" w:eastAsia="Arial" w:hAnsi="Arial"/>
          <w:sz w:val="20"/>
          <w:szCs w:val="20"/>
          <w:color w:val="221E1F"/>
        </w:rPr>
        <w:t>The Corporation maintains electronic records for the purpose of administering the LTIP and individual Awards. In the normal course of plan administration, electronic data may be transferred to different sites within the Company and to outside service providers. Acceptance of an Award constitutes consent by the Participant to the collection, use, processing, transmission, and holding of personal data, in electronic or other form, as required for the implementation, administration, and management of this Award and the LTIP by the Company or its third-party administrators within or outside the country in which the Participant resides or works. All such collection, use, processing, transmission, and holding of data will comply with applicable privacy protection requirements. If you do not want to have your personal data shared, you may choose to not accept this Award.</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 Compliance Policies</w:t>
      </w:r>
    </w:p>
    <w:p>
      <w:pPr>
        <w:spacing w:after="0" w:line="213" w:lineRule="exact"/>
        <w:rPr>
          <w:sz w:val="20"/>
          <w:szCs w:val="20"/>
          <w:color w:val="auto"/>
        </w:rPr>
      </w:pPr>
    </w:p>
    <w:p>
      <w:pPr>
        <w:ind w:right="320"/>
        <w:spacing w:after="0" w:line="223" w:lineRule="auto"/>
        <w:rPr>
          <w:sz w:val="20"/>
          <w:szCs w:val="20"/>
          <w:color w:val="auto"/>
        </w:rPr>
      </w:pPr>
      <w:r>
        <w:rPr>
          <w:rFonts w:ascii="Arial" w:cs="Arial" w:eastAsia="Arial" w:hAnsi="Arial"/>
          <w:sz w:val="20"/>
          <w:szCs w:val="20"/>
          <w:color w:val="auto"/>
        </w:rPr>
        <w:t>Participants must comply with the Company’s Code of Ethics and Corporate Policies and Procedures. Violations can result in the forfeiture of Awards and the obligation to repay previous gains realized from LTIP Awards. The UTC Code of Ethics and Corporate Policy Manual are available online on the Company’s internal home page.</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Interpretations</w:t>
      </w:r>
    </w:p>
    <w:p>
      <w:pPr>
        <w:spacing w:after="0" w:line="213" w:lineRule="exact"/>
        <w:rPr>
          <w:sz w:val="20"/>
          <w:szCs w:val="20"/>
          <w:color w:val="auto"/>
        </w:rPr>
      </w:pPr>
    </w:p>
    <w:p>
      <w:pPr>
        <w:ind w:right="120"/>
        <w:spacing w:after="0" w:line="220" w:lineRule="auto"/>
        <w:rPr>
          <w:sz w:val="20"/>
          <w:szCs w:val="20"/>
          <w:color w:val="auto"/>
        </w:rPr>
      </w:pPr>
      <w:r>
        <w:rPr>
          <w:rFonts w:ascii="Arial" w:cs="Arial" w:eastAsia="Arial" w:hAnsi="Arial"/>
          <w:sz w:val="20"/>
          <w:szCs w:val="20"/>
          <w:color w:val="221E1F"/>
        </w:rPr>
        <w:t xml:space="preserve">This Schedule of Terms provides a summary of terms applicable to the SAR Award. This Schedule of Terms and each Award Agreement are subject in all respects to the terms of the LTIP, which can be located at </w:t>
      </w:r>
      <w:r>
        <w:rPr>
          <w:rFonts w:ascii="Arial" w:cs="Arial" w:eastAsia="Arial" w:hAnsi="Arial"/>
          <w:sz w:val="20"/>
          <w:szCs w:val="20"/>
          <w:u w:val="single" w:color="auto"/>
          <w:color w:val="0000FF"/>
        </w:rPr>
        <w:t>www.ubs.com/onesource/utx</w:t>
      </w:r>
      <w:r>
        <w:rPr>
          <w:rFonts w:ascii="Arial" w:cs="Arial" w:eastAsia="Arial" w:hAnsi="Arial"/>
          <w:sz w:val="20"/>
          <w:szCs w:val="20"/>
          <w:color w:val="221E1F"/>
        </w:rPr>
        <w:t>. In the event that any provision of this Schedule of Terms or any Award Agreement is inconsistent with the terms of the LTIP, the terms of the LTIP shall govern. Capitalized terms used but not otherwise defined herein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4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630" w:right="339" w:bottom="1440" w:gutter="0" w:footer="0" w:header="0"/>
        </w:sectPr>
      </w:pPr>
    </w:p>
    <w:bookmarkStart w:id="131" w:name="page132"/>
    <w:bookmarkEnd w:id="131"/>
    <w:p>
      <w:pPr>
        <w:jc w:val="center"/>
        <w:ind w:right="-59"/>
        <w:spacing w:after="0"/>
        <w:rPr>
          <w:sz w:val="20"/>
          <w:szCs w:val="20"/>
          <w:color w:val="auto"/>
        </w:rPr>
      </w:pPr>
      <w:r>
        <w:rPr>
          <w:rFonts w:ascii="Arial" w:cs="Arial" w:eastAsia="Arial" w:hAnsi="Arial"/>
          <w:sz w:val="14"/>
          <w:szCs w:val="14"/>
          <w:color w:val="auto"/>
        </w:rPr>
        <w:t>Internal Use Only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140"/>
        <w:spacing w:after="0" w:line="218" w:lineRule="auto"/>
        <w:rPr>
          <w:sz w:val="20"/>
          <w:szCs w:val="20"/>
          <w:color w:val="auto"/>
        </w:rPr>
      </w:pPr>
      <w:r>
        <w:rPr>
          <w:rFonts w:ascii="Arial" w:cs="Arial" w:eastAsia="Arial" w:hAnsi="Arial"/>
          <w:sz w:val="20"/>
          <w:szCs w:val="20"/>
          <w:color w:val="221E1F"/>
        </w:rPr>
        <w:t>have the meanings as defined in the LTIP. Any question concerning administration or interpretation arising under the Schedule of Terms or any Award Agreement will be determined by the Committee or its delegates, and such determination shall be final, binding, and conclusive upon all parties in interest. If this Schedule of Terms or any other document related to this Award is translated into a language other than English and a conflict arises between the English and translated version, the English version will control.</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Governing Law</w:t>
      </w:r>
    </w:p>
    <w:p>
      <w:pPr>
        <w:spacing w:after="0" w:line="213"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The LTIP, this Schedule of Terms, and the Award Agreement shall be governed by and construed in accordance with the laws of the State of Delaware.</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Additional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Questions concerning the LTIP or Awards and requests for LTIP documents can be directed to:</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20"/>
          <w:szCs w:val="20"/>
          <w:color w:val="auto"/>
        </w:rPr>
        <w:t>Stock Plan Administrator</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20"/>
          <w:szCs w:val="20"/>
          <w:u w:val="single" w:color="auto"/>
          <w:color w:val="0000FF"/>
        </w:rPr>
        <w:t>stockoptionplans@utc.com</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OR</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United Technologies Corporation</w:t>
      </w:r>
    </w:p>
    <w:p>
      <w:pPr>
        <w:ind w:left="660"/>
        <w:spacing w:after="0" w:line="225" w:lineRule="auto"/>
        <w:rPr>
          <w:sz w:val="20"/>
          <w:szCs w:val="20"/>
          <w:color w:val="auto"/>
        </w:rPr>
      </w:pPr>
      <w:r>
        <w:rPr>
          <w:rFonts w:ascii="Arial" w:cs="Arial" w:eastAsia="Arial" w:hAnsi="Arial"/>
          <w:sz w:val="20"/>
          <w:szCs w:val="20"/>
          <w:color w:val="auto"/>
        </w:rPr>
        <w:t>Attn: Stock Plan Administrator</w:t>
      </w:r>
    </w:p>
    <w:p>
      <w:pPr>
        <w:ind w:left="440"/>
        <w:spacing w:after="0" w:line="225" w:lineRule="auto"/>
        <w:rPr>
          <w:sz w:val="20"/>
          <w:szCs w:val="20"/>
          <w:color w:val="auto"/>
        </w:rPr>
      </w:pPr>
      <w:r>
        <w:rPr>
          <w:rFonts w:ascii="Arial" w:cs="Arial" w:eastAsia="Arial" w:hAnsi="Arial"/>
          <w:sz w:val="20"/>
          <w:szCs w:val="20"/>
          <w:color w:val="auto"/>
        </w:rPr>
        <w:t>4 Farm Springs Road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Farmington, CT 06032</w:t>
      </w:r>
    </w:p>
    <w:p>
      <w:pPr>
        <w:spacing w:after="0" w:line="229" w:lineRule="exact"/>
        <w:rPr>
          <w:sz w:val="20"/>
          <w:szCs w:val="20"/>
          <w:color w:val="auto"/>
        </w:rPr>
      </w:pPr>
    </w:p>
    <w:p>
      <w:pPr>
        <w:jc w:val="both"/>
        <w:ind w:right="20"/>
        <w:spacing w:after="0" w:line="235" w:lineRule="auto"/>
        <w:rPr>
          <w:sz w:val="20"/>
          <w:szCs w:val="20"/>
          <w:color w:val="auto"/>
        </w:rPr>
      </w:pPr>
      <w:r>
        <w:rPr>
          <w:rFonts w:ascii="Arial" w:cs="Arial" w:eastAsia="Arial" w:hAnsi="Arial"/>
          <w:sz w:val="19"/>
          <w:szCs w:val="19"/>
          <w:color w:val="auto"/>
        </w:rPr>
        <w:t xml:space="preserve">The Corporation and / or its approved Stock Plan Administrator will send any Award-related communications to the Participant’s email address or physical address on record. </w:t>
      </w:r>
      <w:r>
        <w:rPr>
          <w:rFonts w:ascii="Arial" w:cs="Arial" w:eastAsia="Arial" w:hAnsi="Arial"/>
          <w:sz w:val="19"/>
          <w:szCs w:val="19"/>
          <w:color w:val="221E1F"/>
        </w:rPr>
        <w:t>It is the responsibility of the Participant to ensure that both the e-mail and physical</w:t>
      </w:r>
      <w:r>
        <w:rPr>
          <w:rFonts w:ascii="Arial" w:cs="Arial" w:eastAsia="Arial" w:hAnsi="Arial"/>
          <w:sz w:val="19"/>
          <w:szCs w:val="19"/>
          <w:color w:val="auto"/>
        </w:rPr>
        <w:t xml:space="preserve"> </w:t>
      </w:r>
      <w:r>
        <w:rPr>
          <w:rFonts w:ascii="Arial" w:cs="Arial" w:eastAsia="Arial" w:hAnsi="Arial"/>
          <w:sz w:val="19"/>
          <w:szCs w:val="19"/>
          <w:color w:val="221E1F"/>
        </w:rPr>
        <w:t>address on record are up-to-date and accurate at all times to ensure delivery of Award-related communications.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40"/>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180"/>
          </w:cols>
          <w:pgMar w:left="320" w:top="630" w:right="39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May 7, 2020</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rPr>
          <w:sz w:val="20"/>
          <w:szCs w:val="20"/>
          <w:color w:val="auto"/>
        </w:rPr>
      </w:pPr>
      <w:r>
        <w:rPr>
          <w:rFonts w:ascii="Arial" w:cs="Arial" w:eastAsia="Arial" w:hAnsi="Arial"/>
          <w:sz w:val="18"/>
          <w:szCs w:val="18"/>
          <w:color w:val="auto"/>
        </w:rPr>
        <w:t>Washington, DC 20549</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239"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We are aware that our report dated May 7, 2020 on our review of interim financial information of Raytheon Technologies Corporation which appears in this Quarterly Report on Form 10-Q, is incorporated by reference in the Registration Statements on Form S-3 (No. 333-234027) and Form S-8 (Nos. 333-237576, 333-234086, 333-234085, 333-234084, 333-228649, 333-225839, 333-207193, 333-197704, 333-183123, 333-177517, 333-175781, 333-150643, 333-125293, 333-110020, 333-100724, 333-100723, 333-100718 and 033-51385) of Raytheon Technologies Corporation.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Hartford, CT</w:t>
      </w:r>
    </w:p>
    <w:p>
      <w:pPr>
        <w:sectPr>
          <w:pgSz w:w="11900" w:h="16838" w:orient="portrait"/>
          <w:cols w:equalWidth="0" w:num="1">
            <w:col w:w="11240"/>
          </w:cols>
          <w:pgMar w:left="320" w:top="891"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 Gregory J. Hayes, certify that:</w:t>
      </w:r>
    </w:p>
    <w:p>
      <w:pPr>
        <w:spacing w:after="0" w:line="224" w:lineRule="exact"/>
        <w:rPr>
          <w:sz w:val="20"/>
          <w:szCs w:val="20"/>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 have reviewed this annual report on Form 10-Q of Raytheon Technologies Corporation;</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1300" w:hanging="320"/>
        <w:spacing w:after="0" w:line="255" w:lineRule="auto"/>
        <w:tabs>
          <w:tab w:leader="none" w:pos="129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jc w:val="both"/>
        <w:ind w:left="1300" w:hanging="320"/>
        <w:spacing w:after="0" w:line="250" w:lineRule="auto"/>
        <w:tabs>
          <w:tab w:leader="none" w:pos="13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320"/>
        <w:spacing w:after="0" w:line="281" w:lineRule="auto"/>
        <w:tabs>
          <w:tab w:leader="none" w:pos="1290" w:val="left"/>
        </w:tabs>
        <w:numPr>
          <w:ilvl w:val="1"/>
          <w:numId w:val="9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320"/>
        <w:spacing w:after="0" w:line="255" w:lineRule="auto"/>
        <w:tabs>
          <w:tab w:leader="none" w:pos="13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6"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hanging="320"/>
        <w:spacing w:after="0" w:line="308" w:lineRule="auto"/>
        <w:tabs>
          <w:tab w:leader="none" w:pos="1290" w:val="left"/>
        </w:tabs>
        <w:numPr>
          <w:ilvl w:val="1"/>
          <w:numId w:val="9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20"/>
        <w:spacing w:after="0"/>
        <w:tabs>
          <w:tab w:leader="none" w:pos="660" w:val="left"/>
          <w:tab w:leader="none" w:pos="6560" w:val="left"/>
        </w:tabs>
        <w:rPr>
          <w:sz w:val="20"/>
          <w:szCs w:val="20"/>
          <w:color w:val="auto"/>
        </w:rPr>
      </w:pPr>
      <w:r>
        <w:rPr>
          <w:rFonts w:ascii="Arial" w:cs="Arial" w:eastAsia="Arial" w:hAnsi="Arial"/>
          <w:sz w:val="18"/>
          <w:szCs w:val="18"/>
          <w:color w:val="auto"/>
        </w:rPr>
        <w:t>Date:</w:t>
        <w:tab/>
        <w:t>May 7, 2020</w:t>
      </w:r>
      <w:r>
        <w:rPr>
          <w:sz w:val="20"/>
          <w:szCs w:val="20"/>
          <w:color w:val="auto"/>
        </w:rPr>
        <w:tab/>
      </w:r>
      <w:r>
        <w:rPr>
          <w:rFonts w:ascii="Arial" w:cs="Arial" w:eastAsia="Arial" w:hAnsi="Arial"/>
          <w:sz w:val="17"/>
          <w:szCs w:val="17"/>
          <w:color w:val="auto"/>
        </w:rPr>
        <w:t>/s/ G</w:t>
      </w:r>
      <w:r>
        <w:rPr>
          <w:rFonts w:ascii="Arial" w:cs="Arial" w:eastAsia="Arial" w:hAnsi="Arial"/>
          <w:sz w:val="13"/>
          <w:szCs w:val="13"/>
          <w:color w:val="auto"/>
        </w:rPr>
        <w:t>REGORY</w:t>
      </w:r>
      <w:r>
        <w:rPr>
          <w:rFonts w:ascii="Arial" w:cs="Arial" w:eastAsia="Arial" w:hAnsi="Arial"/>
          <w:sz w:val="17"/>
          <w:szCs w:val="17"/>
          <w:color w:val="auto"/>
        </w:rPr>
        <w:t xml:space="preserve"> J. H</w:t>
      </w:r>
      <w:r>
        <w:rPr>
          <w:rFonts w:ascii="Arial" w:cs="Arial" w:eastAsia="Arial" w:hAnsi="Arial"/>
          <w:sz w:val="13"/>
          <w:szCs w:val="13"/>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31750</wp:posOffset>
            </wp:positionV>
            <wp:extent cx="294894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5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Gregory J. Hayes</w:t>
      </w:r>
    </w:p>
    <w:p>
      <w:pPr>
        <w:spacing w:after="0" w:line="6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91"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 Anthony F. O’Brien, certify that:</w:t>
      </w:r>
    </w:p>
    <w:p>
      <w:pPr>
        <w:spacing w:after="0" w:line="171" w:lineRule="exact"/>
        <w:rPr>
          <w:sz w:val="20"/>
          <w:szCs w:val="20"/>
          <w:color w:val="auto"/>
        </w:rPr>
      </w:pPr>
    </w:p>
    <w:p>
      <w:pPr>
        <w:ind w:left="1280" w:hanging="644"/>
        <w:spacing w:after="0"/>
        <w:tabs>
          <w:tab w:leader="none" w:pos="12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 have reviewed this annual report on Form 10-Q of Raytheon Technologies Corporation;</w:t>
      </w:r>
    </w:p>
    <w:p>
      <w:pPr>
        <w:spacing w:after="0" w:line="171" w:lineRule="exact"/>
        <w:rPr>
          <w:rFonts w:ascii="Arial" w:cs="Arial" w:eastAsia="Arial" w:hAnsi="Arial"/>
          <w:sz w:val="18"/>
          <w:szCs w:val="18"/>
          <w:color w:val="auto"/>
        </w:rPr>
      </w:pPr>
    </w:p>
    <w:p>
      <w:pPr>
        <w:jc w:val="both"/>
        <w:ind w:left="1280" w:hanging="644"/>
        <w:spacing w:after="0" w:line="263" w:lineRule="auto"/>
        <w:tabs>
          <w:tab w:leader="none" w:pos="12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1280" w:right="20" w:hanging="644"/>
        <w:spacing w:after="0" w:line="342" w:lineRule="auto"/>
        <w:tabs>
          <w:tab w:leader="none" w:pos="12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280" w:hanging="644"/>
        <w:spacing w:after="0" w:line="291" w:lineRule="auto"/>
        <w:tabs>
          <w:tab w:leader="none" w:pos="12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28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56" w:lineRule="exact"/>
        <w:rPr>
          <w:rFonts w:ascii="Arial" w:cs="Arial" w:eastAsia="Arial" w:hAnsi="Arial"/>
          <w:sz w:val="16"/>
          <w:szCs w:val="16"/>
          <w:color w:val="auto"/>
        </w:rPr>
      </w:pPr>
    </w:p>
    <w:p>
      <w:pPr>
        <w:jc w:val="both"/>
        <w:ind w:left="1940" w:hanging="656"/>
        <w:spacing w:after="0" w:line="286" w:lineRule="auto"/>
        <w:tabs>
          <w:tab w:leader="none" w:pos="1930" w:val="left"/>
        </w:tabs>
        <w:numPr>
          <w:ilvl w:val="1"/>
          <w:numId w:val="9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40" w:right="20" w:hanging="656"/>
        <w:spacing w:after="0" w:line="286" w:lineRule="auto"/>
        <w:tabs>
          <w:tab w:leader="none" w:pos="1940" w:val="left"/>
        </w:tabs>
        <w:numPr>
          <w:ilvl w:val="1"/>
          <w:numId w:val="9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jc w:val="both"/>
        <w:ind w:left="1940" w:hanging="656"/>
        <w:spacing w:after="0" w:line="263" w:lineRule="auto"/>
        <w:tabs>
          <w:tab w:leader="none" w:pos="1930" w:val="left"/>
        </w:tabs>
        <w:numPr>
          <w:ilvl w:val="1"/>
          <w:numId w:val="9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left="1940" w:hanging="656"/>
        <w:spacing w:after="0" w:line="286" w:lineRule="auto"/>
        <w:tabs>
          <w:tab w:leader="none" w:pos="1940" w:val="left"/>
        </w:tabs>
        <w:numPr>
          <w:ilvl w:val="1"/>
          <w:numId w:val="9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280" w:hanging="644"/>
        <w:spacing w:after="0" w:line="263" w:lineRule="auto"/>
        <w:tabs>
          <w:tab w:leader="none" w:pos="12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8"/>
          <w:szCs w:val="18"/>
          <w:color w:val="auto"/>
        </w:rPr>
      </w:pPr>
    </w:p>
    <w:p>
      <w:pPr>
        <w:jc w:val="both"/>
        <w:ind w:left="1940" w:hanging="656"/>
        <w:spacing w:after="0" w:line="263" w:lineRule="auto"/>
        <w:tabs>
          <w:tab w:leader="none" w:pos="193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1940" w:right="20" w:hanging="656"/>
        <w:spacing w:after="0" w:line="277" w:lineRule="auto"/>
        <w:tabs>
          <w:tab w:leader="none" w:pos="19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spacing w:after="0"/>
        <w:tabs>
          <w:tab w:leader="none" w:pos="600" w:val="left"/>
          <w:tab w:leader="none" w:pos="6200" w:val="left"/>
        </w:tabs>
        <w:rPr>
          <w:sz w:val="20"/>
          <w:szCs w:val="20"/>
          <w:color w:val="auto"/>
        </w:rPr>
      </w:pPr>
      <w:r>
        <w:rPr>
          <w:rFonts w:ascii="Arial" w:cs="Arial" w:eastAsia="Arial" w:hAnsi="Arial"/>
          <w:sz w:val="18"/>
          <w:szCs w:val="18"/>
          <w:color w:val="auto"/>
        </w:rPr>
        <w:t>Date:</w:t>
        <w:tab/>
        <w:t>May 7, 2020</w:t>
      </w:r>
      <w:r>
        <w:rPr>
          <w:sz w:val="20"/>
          <w:szCs w:val="20"/>
          <w:color w:val="auto"/>
        </w:rPr>
        <w:tab/>
      </w:r>
      <w:r>
        <w:rPr>
          <w:rFonts w:ascii="Arial" w:cs="Arial" w:eastAsia="Arial" w:hAnsi="Arial"/>
          <w:sz w:val="17"/>
          <w:szCs w:val="17"/>
          <w:color w:val="auto"/>
        </w:rPr>
        <w:t>/s/ ANTHONY F.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31750</wp:posOffset>
            </wp:positionV>
            <wp:extent cx="31457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57"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Anthony F. O'Brien</w:t>
      </w:r>
    </w:p>
    <w:p>
      <w:pPr>
        <w:spacing w:after="0" w:line="6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20"/>
          </w:cols>
          <w:pgMar w:left="340" w:top="891"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31.3</w:t>
      </w:r>
    </w:p>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 Michael J. Wood, certify that:</w:t>
      </w:r>
    </w:p>
    <w:p>
      <w:pPr>
        <w:spacing w:after="0" w:line="189" w:lineRule="exact"/>
        <w:rPr>
          <w:sz w:val="20"/>
          <w:szCs w:val="20"/>
          <w:color w:val="auto"/>
        </w:rPr>
      </w:pPr>
    </w:p>
    <w:p>
      <w:pPr>
        <w:ind w:left="1280" w:hanging="644"/>
        <w:spacing w:after="0"/>
        <w:tabs>
          <w:tab w:leader="none" w:pos="1280" w:val="left"/>
        </w:tabs>
        <w:numPr>
          <w:ilvl w:val="0"/>
          <w:numId w:val="100"/>
        </w:numPr>
        <w:rPr>
          <w:rFonts w:ascii="Arial" w:cs="Arial" w:eastAsia="Arial" w:hAnsi="Arial"/>
          <w:sz w:val="22"/>
          <w:szCs w:val="22"/>
          <w:color w:val="auto"/>
        </w:rPr>
      </w:pPr>
      <w:r>
        <w:rPr>
          <w:rFonts w:ascii="Arial" w:cs="Arial" w:eastAsia="Arial" w:hAnsi="Arial"/>
          <w:sz w:val="18"/>
          <w:szCs w:val="18"/>
          <w:color w:val="auto"/>
        </w:rPr>
        <w:t>I have reviewed this annual report on Form 10-Q of Raytheon Technologies Corporation;</w:t>
      </w:r>
    </w:p>
    <w:p>
      <w:pPr>
        <w:spacing w:after="0" w:line="188" w:lineRule="exact"/>
        <w:rPr>
          <w:rFonts w:ascii="Arial" w:cs="Arial" w:eastAsia="Arial" w:hAnsi="Arial"/>
          <w:sz w:val="22"/>
          <w:szCs w:val="22"/>
          <w:color w:val="auto"/>
        </w:rPr>
      </w:pPr>
    </w:p>
    <w:p>
      <w:pPr>
        <w:jc w:val="both"/>
        <w:ind w:left="1280" w:hanging="644"/>
        <w:spacing w:after="0" w:line="238" w:lineRule="auto"/>
        <w:tabs>
          <w:tab w:leader="none" w:pos="1280" w:val="left"/>
        </w:tabs>
        <w:numPr>
          <w:ilvl w:val="0"/>
          <w:numId w:val="100"/>
        </w:numPr>
        <w:rPr>
          <w:rFonts w:ascii="Arial" w:cs="Arial" w:eastAsia="Arial" w:hAnsi="Arial"/>
          <w:sz w:val="22"/>
          <w:szCs w:val="22"/>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22"/>
          <w:szCs w:val="22"/>
          <w:color w:val="auto"/>
        </w:rPr>
      </w:pPr>
    </w:p>
    <w:p>
      <w:pPr>
        <w:ind w:left="1280" w:right="20" w:hanging="644"/>
        <w:spacing w:after="0" w:line="297" w:lineRule="auto"/>
        <w:tabs>
          <w:tab w:leader="none" w:pos="1280" w:val="left"/>
        </w:tabs>
        <w:numPr>
          <w:ilvl w:val="0"/>
          <w:numId w:val="100"/>
        </w:numPr>
        <w:rPr>
          <w:rFonts w:ascii="Arial" w:cs="Arial" w:eastAsia="Arial" w:hAnsi="Arial"/>
          <w:sz w:val="19"/>
          <w:szCs w:val="19"/>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6" w:lineRule="exact"/>
        <w:rPr>
          <w:rFonts w:ascii="Arial" w:cs="Arial" w:eastAsia="Arial" w:hAnsi="Arial"/>
          <w:sz w:val="19"/>
          <w:szCs w:val="19"/>
          <w:color w:val="auto"/>
        </w:rPr>
      </w:pPr>
    </w:p>
    <w:p>
      <w:pPr>
        <w:jc w:val="both"/>
        <w:ind w:left="1280" w:hanging="644"/>
        <w:spacing w:after="0" w:line="266" w:lineRule="auto"/>
        <w:tabs>
          <w:tab w:leader="none" w:pos="1280" w:val="left"/>
        </w:tabs>
        <w:numPr>
          <w:ilvl w:val="0"/>
          <w:numId w:val="100"/>
        </w:numPr>
        <w:rPr>
          <w:rFonts w:ascii="Arial" w:cs="Arial" w:eastAsia="Arial" w:hAnsi="Arial"/>
          <w:sz w:val="19"/>
          <w:szCs w:val="19"/>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280"/>
        <w:spacing w:after="0"/>
        <w:rPr>
          <w:rFonts w:ascii="Arial" w:cs="Arial" w:eastAsia="Arial" w:hAnsi="Arial"/>
          <w:sz w:val="19"/>
          <w:szCs w:val="19"/>
          <w:color w:val="auto"/>
        </w:rPr>
      </w:pPr>
      <w:r>
        <w:rPr>
          <w:rFonts w:ascii="Arial" w:cs="Arial" w:eastAsia="Arial" w:hAnsi="Arial"/>
          <w:sz w:val="18"/>
          <w:szCs w:val="18"/>
          <w:color w:val="auto"/>
        </w:rPr>
        <w:t>13a-15(f) and 15d-15(f)) for the registrant and have:</w:t>
      </w:r>
    </w:p>
    <w:p>
      <w:pPr>
        <w:spacing w:after="0" w:line="156" w:lineRule="exact"/>
        <w:rPr>
          <w:rFonts w:ascii="Arial" w:cs="Arial" w:eastAsia="Arial" w:hAnsi="Arial"/>
          <w:sz w:val="19"/>
          <w:szCs w:val="19"/>
          <w:color w:val="auto"/>
        </w:rPr>
      </w:pPr>
    </w:p>
    <w:p>
      <w:pPr>
        <w:jc w:val="both"/>
        <w:ind w:left="1940" w:hanging="656"/>
        <w:spacing w:after="0" w:line="286" w:lineRule="auto"/>
        <w:tabs>
          <w:tab w:leader="none" w:pos="193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40" w:right="20" w:hanging="656"/>
        <w:spacing w:after="0" w:line="286" w:lineRule="auto"/>
        <w:tabs>
          <w:tab w:leader="none" w:pos="194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jc w:val="both"/>
        <w:ind w:left="1940" w:hanging="656"/>
        <w:spacing w:after="0" w:line="263" w:lineRule="auto"/>
        <w:tabs>
          <w:tab w:leader="none" w:pos="193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left="1940" w:hanging="656"/>
        <w:spacing w:after="0" w:line="286" w:lineRule="auto"/>
        <w:tabs>
          <w:tab w:leader="none" w:pos="194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1" w:lineRule="exact"/>
        <w:rPr>
          <w:rFonts w:ascii="Arial" w:cs="Arial" w:eastAsia="Arial" w:hAnsi="Arial"/>
          <w:sz w:val="17"/>
          <w:szCs w:val="17"/>
          <w:color w:val="auto"/>
        </w:rPr>
      </w:pPr>
    </w:p>
    <w:p>
      <w:pPr>
        <w:jc w:val="both"/>
        <w:ind w:left="1280" w:hanging="644"/>
        <w:spacing w:after="0" w:line="238" w:lineRule="auto"/>
        <w:tabs>
          <w:tab w:leader="none" w:pos="1280" w:val="left"/>
        </w:tabs>
        <w:numPr>
          <w:ilvl w:val="0"/>
          <w:numId w:val="100"/>
        </w:numPr>
        <w:rPr>
          <w:rFonts w:ascii="Arial" w:cs="Arial" w:eastAsia="Arial" w:hAnsi="Arial"/>
          <w:sz w:val="22"/>
          <w:szCs w:val="22"/>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Arial" w:cs="Arial" w:eastAsia="Arial" w:hAnsi="Arial"/>
          <w:sz w:val="22"/>
          <w:szCs w:val="22"/>
          <w:color w:val="auto"/>
        </w:rPr>
      </w:pPr>
    </w:p>
    <w:p>
      <w:pPr>
        <w:jc w:val="both"/>
        <w:ind w:left="1940" w:hanging="656"/>
        <w:spacing w:after="0" w:line="263" w:lineRule="auto"/>
        <w:tabs>
          <w:tab w:leader="none" w:pos="193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1940" w:right="20" w:hanging="656"/>
        <w:spacing w:after="0" w:line="277" w:lineRule="auto"/>
        <w:tabs>
          <w:tab w:leader="none" w:pos="194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spacing w:after="0"/>
        <w:tabs>
          <w:tab w:leader="none" w:pos="600" w:val="left"/>
          <w:tab w:leader="none" w:pos="6480" w:val="left"/>
        </w:tabs>
        <w:rPr>
          <w:sz w:val="20"/>
          <w:szCs w:val="20"/>
          <w:color w:val="auto"/>
        </w:rPr>
      </w:pPr>
      <w:r>
        <w:rPr>
          <w:rFonts w:ascii="Arial" w:cs="Arial" w:eastAsia="Arial" w:hAnsi="Arial"/>
          <w:sz w:val="18"/>
          <w:szCs w:val="18"/>
          <w:color w:val="auto"/>
        </w:rPr>
        <w:t>Date:</w:t>
        <w:tab/>
        <w:t>May 7, 2020</w:t>
      </w:r>
      <w:r>
        <w:rPr>
          <w:sz w:val="20"/>
          <w:szCs w:val="20"/>
          <w:color w:val="auto"/>
        </w:rPr>
        <w:tab/>
      </w:r>
      <w:r>
        <w:rPr>
          <w:rFonts w:ascii="Arial" w:cs="Arial" w:eastAsia="Arial" w:hAnsi="Arial"/>
          <w:sz w:val="17"/>
          <w:szCs w:val="17"/>
          <w:color w:val="auto"/>
        </w:rPr>
        <w:t>/s/ MICHAEL J.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31750</wp:posOffset>
            </wp:positionV>
            <wp:extent cx="298323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57"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Michael J. Wood</w:t>
      </w:r>
    </w:p>
    <w:p>
      <w:pPr>
        <w:spacing w:after="0" w:line="6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Corporate Vice President and Controller</w:t>
      </w:r>
    </w:p>
    <w:p>
      <w:pPr>
        <w:sectPr>
          <w:pgSz w:w="11900" w:h="16838" w:orient="portrait"/>
          <w:cols w:equalWidth="0" w:num="1">
            <w:col w:w="11220"/>
          </w:cols>
          <w:pgMar w:left="340" w:top="891"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57" w:lineRule="exact"/>
        <w:rPr>
          <w:sz w:val="20"/>
          <w:szCs w:val="20"/>
          <w:color w:val="auto"/>
        </w:rPr>
      </w:pPr>
    </w:p>
    <w:p>
      <w:pPr>
        <w:ind w:right="100" w:firstLine="445"/>
        <w:spacing w:after="0" w:line="30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United Technologies Corporation, a Delaware corporation (the “</w:t>
      </w:r>
      <w:r>
        <w:rPr>
          <w:rFonts w:ascii="Arial" w:cs="Arial" w:eastAsia="Arial" w:hAnsi="Arial"/>
          <w:sz w:val="17"/>
          <w:szCs w:val="17"/>
          <w:u w:val="single" w:color="auto"/>
          <w:color w:val="auto"/>
        </w:rPr>
        <w:t>Corporation</w:t>
      </w:r>
      <w:r>
        <w:rPr>
          <w:rFonts w:ascii="Arial" w:cs="Arial" w:eastAsia="Arial" w:hAnsi="Arial"/>
          <w:sz w:val="17"/>
          <w:szCs w:val="17"/>
          <w:color w:val="auto"/>
        </w:rPr>
        <w:t>”), does hereby certify that:</w:t>
      </w:r>
    </w:p>
    <w:p>
      <w:pPr>
        <w:spacing w:after="0" w:line="38" w:lineRule="exact"/>
        <w:rPr>
          <w:sz w:val="20"/>
          <w:szCs w:val="20"/>
          <w:color w:val="auto"/>
        </w:rPr>
      </w:pPr>
    </w:p>
    <w:p>
      <w:pPr>
        <w:ind w:right="220" w:firstLine="445"/>
        <w:spacing w:after="0" w:line="263" w:lineRule="auto"/>
        <w:rPr>
          <w:sz w:val="20"/>
          <w:szCs w:val="20"/>
          <w:color w:val="auto"/>
        </w:rPr>
      </w:pPr>
      <w:r>
        <w:rPr>
          <w:rFonts w:ascii="Arial" w:cs="Arial" w:eastAsia="Arial" w:hAnsi="Arial"/>
          <w:sz w:val="18"/>
          <w:szCs w:val="18"/>
          <w:color w:val="auto"/>
        </w:rPr>
        <w:t>The Quarterly Report on Form 10-Q for the quarter ended March 31, 2020 (the “</w:t>
      </w:r>
      <w:r>
        <w:rPr>
          <w:rFonts w:ascii="Arial" w:cs="Arial" w:eastAsia="Arial" w:hAnsi="Arial"/>
          <w:sz w:val="18"/>
          <w:szCs w:val="18"/>
          <w:u w:val="single" w:color="auto"/>
          <w:color w:val="auto"/>
        </w:rPr>
        <w:t>Form 10-Q</w:t>
      </w:r>
      <w:r>
        <w:rPr>
          <w:rFonts w:ascii="Arial" w:cs="Arial" w:eastAsia="Arial" w:hAnsi="Arial"/>
          <w:sz w:val="18"/>
          <w:szCs w:val="18"/>
          <w:color w:val="auto"/>
        </w:rPr>
        <w:t>”) of the Corporation fully complies with the requirements of section 13(a) or 15(d) of the Securities Exchange Act of 1934 and information contained in the Form 10-Q fairly presents, in all material respects, the financial condition and results of operations of the Corporation.</w:t>
      </w:r>
    </w:p>
    <w:p>
      <w:pPr>
        <w:spacing w:after="0" w:line="211" w:lineRule="exact"/>
        <w:rPr>
          <w:sz w:val="20"/>
          <w:szCs w:val="20"/>
          <w:color w:val="auto"/>
        </w:rPr>
      </w:pPr>
    </w:p>
    <w:p>
      <w:pPr>
        <w:ind w:left="20"/>
        <w:spacing w:after="0"/>
        <w:tabs>
          <w:tab w:leader="none" w:pos="640" w:val="left"/>
          <w:tab w:leader="none" w:pos="5100" w:val="left"/>
        </w:tabs>
        <w:rPr>
          <w:sz w:val="20"/>
          <w:szCs w:val="20"/>
          <w:color w:val="auto"/>
        </w:rPr>
      </w:pPr>
      <w:r>
        <w:rPr>
          <w:rFonts w:ascii="Arial" w:cs="Arial" w:eastAsia="Arial" w:hAnsi="Arial"/>
          <w:sz w:val="18"/>
          <w:szCs w:val="18"/>
          <w:color w:val="auto"/>
        </w:rPr>
        <w:t>Date:</w:t>
        <w:tab/>
        <w:t>May 7, 2020</w:t>
      </w:r>
      <w:r>
        <w:rPr>
          <w:sz w:val="20"/>
          <w:szCs w:val="20"/>
          <w:color w:val="auto"/>
        </w:rPr>
        <w:tab/>
      </w:r>
      <w:r>
        <w:rPr>
          <w:rFonts w:ascii="Arial" w:cs="Arial" w:eastAsia="Arial" w:hAnsi="Arial"/>
          <w:sz w:val="17"/>
          <w:szCs w:val="17"/>
          <w:color w:val="auto"/>
        </w:rPr>
        <w:t>/s/ G</w:t>
      </w:r>
      <w:r>
        <w:rPr>
          <w:rFonts w:ascii="Arial" w:cs="Arial" w:eastAsia="Arial" w:hAnsi="Arial"/>
          <w:sz w:val="13"/>
          <w:szCs w:val="13"/>
          <w:color w:val="auto"/>
        </w:rPr>
        <w:t>REGORY</w:t>
      </w:r>
      <w:r>
        <w:rPr>
          <w:rFonts w:ascii="Arial" w:cs="Arial" w:eastAsia="Arial" w:hAnsi="Arial"/>
          <w:sz w:val="17"/>
          <w:szCs w:val="17"/>
          <w:color w:val="auto"/>
        </w:rPr>
        <w:t xml:space="preserve"> J. H</w:t>
      </w:r>
      <w:r>
        <w:rPr>
          <w:rFonts w:ascii="Arial" w:cs="Arial" w:eastAsia="Arial" w:hAnsi="Arial"/>
          <w:sz w:val="13"/>
          <w:szCs w:val="13"/>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31750</wp:posOffset>
            </wp:positionV>
            <wp:extent cx="38658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5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Gregory J. Hayes</w:t>
      </w:r>
    </w:p>
    <w:p>
      <w:pPr>
        <w:spacing w:after="0" w:line="6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President and Chief Executive Officer</w:t>
      </w:r>
    </w:p>
    <w:p>
      <w:pPr>
        <w:spacing w:after="0" w:line="333" w:lineRule="exact"/>
        <w:rPr>
          <w:sz w:val="20"/>
          <w:szCs w:val="20"/>
          <w:color w:val="auto"/>
        </w:rPr>
      </w:pPr>
    </w:p>
    <w:p>
      <w:pPr>
        <w:ind w:left="20"/>
        <w:spacing w:after="0"/>
        <w:tabs>
          <w:tab w:leader="none" w:pos="640" w:val="left"/>
          <w:tab w:leader="none" w:pos="5100" w:val="left"/>
        </w:tabs>
        <w:rPr>
          <w:sz w:val="20"/>
          <w:szCs w:val="20"/>
          <w:color w:val="auto"/>
        </w:rPr>
      </w:pPr>
      <w:r>
        <w:rPr>
          <w:rFonts w:ascii="Arial" w:cs="Arial" w:eastAsia="Arial" w:hAnsi="Arial"/>
          <w:sz w:val="18"/>
          <w:szCs w:val="18"/>
          <w:color w:val="auto"/>
        </w:rPr>
        <w:t>Date:</w:t>
        <w:tab/>
        <w:t>May 7, 2020</w:t>
      </w:r>
      <w:r>
        <w:rPr>
          <w:sz w:val="20"/>
          <w:szCs w:val="20"/>
          <w:color w:val="auto"/>
        </w:rPr>
        <w:tab/>
      </w:r>
      <w:r>
        <w:rPr>
          <w:rFonts w:ascii="Arial" w:cs="Arial" w:eastAsia="Arial" w:hAnsi="Arial"/>
          <w:sz w:val="17"/>
          <w:szCs w:val="17"/>
          <w:color w:val="auto"/>
        </w:rPr>
        <w:t>/s/ ANTHONY F.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31750</wp:posOffset>
            </wp:positionV>
            <wp:extent cx="38658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5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Anthony F. O’Brien</w:t>
      </w:r>
    </w:p>
    <w:p>
      <w:pPr>
        <w:spacing w:after="0" w:line="6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Executive Vice President and Chief Financial Officer</w:t>
      </w:r>
    </w:p>
    <w:p>
      <w:pPr>
        <w:spacing w:after="0" w:line="333" w:lineRule="exact"/>
        <w:rPr>
          <w:sz w:val="20"/>
          <w:szCs w:val="20"/>
          <w:color w:val="auto"/>
        </w:rPr>
      </w:pPr>
    </w:p>
    <w:p>
      <w:pPr>
        <w:ind w:left="20"/>
        <w:spacing w:after="0"/>
        <w:tabs>
          <w:tab w:leader="none" w:pos="640" w:val="left"/>
          <w:tab w:leader="none" w:pos="5100" w:val="left"/>
        </w:tabs>
        <w:rPr>
          <w:sz w:val="20"/>
          <w:szCs w:val="20"/>
          <w:color w:val="auto"/>
        </w:rPr>
      </w:pPr>
      <w:r>
        <w:rPr>
          <w:rFonts w:ascii="Arial" w:cs="Arial" w:eastAsia="Arial" w:hAnsi="Arial"/>
          <w:sz w:val="18"/>
          <w:szCs w:val="18"/>
          <w:color w:val="auto"/>
        </w:rPr>
        <w:t>Date:</w:t>
        <w:tab/>
        <w:t>May 7, 2020</w:t>
      </w:r>
      <w:r>
        <w:rPr>
          <w:sz w:val="20"/>
          <w:szCs w:val="20"/>
          <w:color w:val="auto"/>
        </w:rPr>
        <w:tab/>
      </w:r>
      <w:r>
        <w:rPr>
          <w:rFonts w:ascii="Arial" w:cs="Arial" w:eastAsia="Arial" w:hAnsi="Arial"/>
          <w:sz w:val="17"/>
          <w:szCs w:val="17"/>
          <w:color w:val="auto"/>
        </w:rPr>
        <w:t xml:space="preserve">/s/ </w:t>
      </w:r>
      <w:r>
        <w:rPr>
          <w:rFonts w:ascii="Arial" w:cs="Arial" w:eastAsia="Arial" w:hAnsi="Arial"/>
          <w:sz w:val="13"/>
          <w:szCs w:val="13"/>
          <w:color w:val="auto"/>
        </w:rPr>
        <w:t>MICHAEL J.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31750</wp:posOffset>
            </wp:positionV>
            <wp:extent cx="38658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5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Michael J. Wood</w:t>
      </w:r>
    </w:p>
    <w:p>
      <w:pPr>
        <w:spacing w:after="0" w:line="6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Corporate Vice President and Controller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
      <w:numFmt w:val="bullet"/>
      <w:start w:val="1"/>
    </w:lvl>
  </w:abstractNum>
  <w:abstractNum w:abstractNumId="2">
    <w:nsid w:val="79A1DEAA"/>
    <w:multiLevelType w:val="hybridMultilevel"/>
    <w:lvl w:ilvl="0">
      <w:lvlJc w:val="left"/>
      <w:lvlText w:val="(%1)"/>
      <w:numFmt w:val="decimal"/>
      <w:start w:val="781"/>
    </w:lvl>
  </w:abstractNum>
  <w:abstractNum w:abstractNumId="3">
    <w:nsid w:val="75C6C33A"/>
    <w:multiLevelType w:val="hybridMultilevel"/>
    <w:lvl w:ilvl="0">
      <w:lvlJc w:val="left"/>
      <w:lvlText w:val="1"/>
      <w:numFmt w:val="bullet"/>
      <w:start w:val="1"/>
    </w:lvl>
  </w:abstractNum>
  <w:abstractNum w:abstractNumId="4">
    <w:nsid w:val="12E685FB"/>
    <w:multiLevelType w:val="hybridMultilevel"/>
    <w:lvl w:ilvl="0">
      <w:lvlJc w:val="left"/>
      <w:lvlText w:val="2"/>
      <w:numFmt w:val="bullet"/>
      <w:start w:val="1"/>
    </w:lvl>
  </w:abstractNum>
  <w:abstractNum w:abstractNumId="5">
    <w:nsid w:val="70C6A529"/>
    <w:multiLevelType w:val="hybridMultilevel"/>
    <w:lvl w:ilvl="0">
      <w:lvlJc w:val="left"/>
      <w:lvlText w:val="6"/>
      <w:numFmt w:val="bullet"/>
      <w:start w:val="1"/>
    </w:lvl>
  </w:abstractNum>
  <w:abstractNum w:abstractNumId="6">
    <w:nsid w:val="520EEDD1"/>
    <w:multiLevelType w:val="hybridMultilevel"/>
    <w:lvl w:ilvl="0">
      <w:lvlJc w:val="left"/>
      <w:lvlText w:val="•"/>
      <w:numFmt w:val="bullet"/>
      <w:start w:val="1"/>
    </w:lvl>
  </w:abstractNum>
  <w:abstractNum w:abstractNumId="7">
    <w:nsid w:val="374A3FE6"/>
    <w:multiLevelType w:val="hybridMultilevel"/>
    <w:lvl w:ilvl="0">
      <w:lvlJc w:val="left"/>
      <w:lvlText w:val="*"/>
      <w:numFmt w:val="bullet"/>
      <w:start w:val="1"/>
    </w:lvl>
  </w:abstractNum>
  <w:abstractNum w:abstractNumId="8">
    <w:nsid w:val="4F4EF005"/>
    <w:multiLevelType w:val="hybridMultilevel"/>
    <w:lvl w:ilvl="0">
      <w:lvlJc w:val="left"/>
      <w:lvlText w:val="•"/>
      <w:numFmt w:val="bullet"/>
      <w:start w:val="1"/>
    </w:lvl>
  </w:abstractNum>
  <w:abstractNum w:abstractNumId="9">
    <w:nsid w:val="23F9C13C"/>
    <w:multiLevelType w:val="hybridMultilevel"/>
    <w:lvl w:ilvl="0">
      <w:lvlJc w:val="left"/>
      <w:lvlText w:val="•"/>
      <w:numFmt w:val="bullet"/>
      <w:start w:val="1"/>
    </w:lvl>
  </w:abstractNum>
  <w:abstractNum w:abstractNumId="10">
    <w:nsid w:val="649BB77C"/>
    <w:multiLevelType w:val="hybridMultilevel"/>
    <w:lvl w:ilvl="0">
      <w:lvlJc w:val="left"/>
      <w:lvlText w:val="•"/>
      <w:numFmt w:val="bullet"/>
      <w:start w:val="1"/>
    </w:lvl>
  </w:abstractNum>
  <w:abstractNum w:abstractNumId="11">
    <w:nsid w:val="275AC794"/>
    <w:multiLevelType w:val="hybridMultilevel"/>
    <w:lvl w:ilvl="0">
      <w:lvlJc w:val="left"/>
      <w:lvlText w:val="•"/>
      <w:numFmt w:val="bullet"/>
      <w:start w:val="1"/>
    </w:lvl>
  </w:abstractNum>
  <w:abstractNum w:abstractNumId="12">
    <w:nsid w:val="39386575"/>
    <w:multiLevelType w:val="hybridMultilevel"/>
    <w:lvl w:ilvl="0">
      <w:lvlJc w:val="left"/>
      <w:lvlText w:val="•"/>
      <w:numFmt w:val="bullet"/>
      <w:start w:val="1"/>
    </w:lvl>
  </w:abstractNum>
  <w:abstractNum w:abstractNumId="13">
    <w:nsid w:val="1CF10FD8"/>
    <w:multiLevelType w:val="hybridMultilevel"/>
    <w:lvl w:ilvl="0">
      <w:lvlJc w:val="left"/>
      <w:lvlText w:val="•"/>
      <w:numFmt w:val="bullet"/>
      <w:start w:val="1"/>
    </w:lvl>
  </w:abstractNum>
  <w:abstractNum w:abstractNumId="14">
    <w:nsid w:val="180115BE"/>
    <w:multiLevelType w:val="hybridMultilevel"/>
    <w:lvl w:ilvl="0">
      <w:lvlJc w:val="left"/>
      <w:lvlText w:val="%1:"/>
      <w:numFmt w:val="decimal"/>
      <w:start w:val="16"/>
    </w:lvl>
  </w:abstractNum>
  <w:abstractNum w:abstractNumId="15">
    <w:nsid w:val="235BA861"/>
    <w:multiLevelType w:val="hybridMultilevel"/>
    <w:lvl w:ilvl="0">
      <w:lvlJc w:val="left"/>
      <w:lvlText w:val="(%1)"/>
      <w:numFmt w:val="decimal"/>
      <w:start w:val="5"/>
    </w:lvl>
  </w:abstractNum>
  <w:abstractNum w:abstractNumId="16">
    <w:nsid w:val="47398C89"/>
    <w:multiLevelType w:val="hybridMultilevel"/>
    <w:lvl w:ilvl="0">
      <w:lvlJc w:val="left"/>
      <w:lvlText w:val="•"/>
      <w:numFmt w:val="bullet"/>
      <w:start w:val="1"/>
    </w:lvl>
  </w:abstractNum>
  <w:abstractNum w:abstractNumId="17">
    <w:nsid w:val="354FE9F9"/>
    <w:multiLevelType w:val="hybridMultilevel"/>
    <w:lvl w:ilvl="0">
      <w:lvlJc w:val="left"/>
      <w:lvlText w:val="•"/>
      <w:numFmt w:val="bullet"/>
      <w:start w:val="1"/>
    </w:lvl>
  </w:abstractNum>
  <w:abstractNum w:abstractNumId="18">
    <w:nsid w:val="15B5AF5C"/>
    <w:multiLevelType w:val="hybridMultilevel"/>
    <w:lvl w:ilvl="0">
      <w:lvlJc w:val="left"/>
      <w:lvlText w:val="%1."/>
      <w:numFmt w:val="lowerRoman"/>
      <w:start w:val="1"/>
    </w:lvl>
  </w:abstractNum>
  <w:abstractNum w:abstractNumId="19">
    <w:nsid w:val="741226BB"/>
    <w:multiLevelType w:val="hybridMultilevel"/>
    <w:lvl w:ilvl="0">
      <w:lvlJc w:val="left"/>
      <w:lvlText w:val="%1."/>
      <w:numFmt w:val="lowerRoman"/>
      <w:start w:val="2"/>
    </w:lvl>
    <w:lvl w:ilvl="1">
      <w:lvlJc w:val="left"/>
      <w:lvlText w:val="(%2)"/>
      <w:numFmt w:val="lowerLetter"/>
      <w:start w:val="1"/>
    </w:lvl>
  </w:abstractNum>
  <w:abstractNum w:abstractNumId="20">
    <w:nsid w:val="D34B6A8"/>
    <w:multiLevelType w:val="hybridMultilevel"/>
    <w:lvl w:ilvl="0">
      <w:lvlJc w:val="left"/>
      <w:lvlText w:val="(%1)"/>
      <w:numFmt w:val="lowerLetter"/>
      <w:start w:val="4"/>
    </w:lvl>
  </w:abstractNum>
  <w:abstractNum w:abstractNumId="21">
    <w:nsid w:val="10233C99"/>
    <w:multiLevelType w:val="hybridMultilevel"/>
    <w:lvl w:ilvl="0">
      <w:lvlJc w:val="left"/>
      <w:lvlText w:val="%1)"/>
      <w:numFmt w:val="lowerLetter"/>
      <w:start w:val="5"/>
    </w:lvl>
  </w:abstractNum>
  <w:abstractNum w:abstractNumId="22">
    <w:nsid w:val="3F6AB60F"/>
    <w:multiLevelType w:val="hybridMultilevel"/>
    <w:lvl w:ilvl="0">
      <w:lvlJc w:val="left"/>
      <w:lvlText w:val="%1."/>
      <w:numFmt w:val="lowerRoman"/>
      <w:start w:val="3"/>
    </w:lvl>
  </w:abstractNum>
  <w:abstractNum w:abstractNumId="23">
    <w:nsid w:val="61574095"/>
    <w:multiLevelType w:val="hybridMultilevel"/>
    <w:lvl w:ilvl="0">
      <w:lvlJc w:val="left"/>
      <w:lvlText w:val="%1."/>
      <w:numFmt w:val="lowerRoman"/>
      <w:start w:val="1"/>
    </w:lvl>
    <w:lvl w:ilvl="1">
      <w:lvlJc w:val="left"/>
      <w:lvlText w:val="(%2)"/>
      <w:numFmt w:val="decimal"/>
      <w:start w:val="1"/>
    </w:lvl>
  </w:abstractNum>
  <w:abstractNum w:abstractNumId="24">
    <w:nsid w:val="7E0C57B1"/>
    <w:multiLevelType w:val="hybridMultilevel"/>
    <w:lvl w:ilvl="0">
      <w:lvlJc w:val="left"/>
      <w:lvlText w:val="%1"/>
      <w:numFmt w:val="lowerRoman"/>
      <w:start w:val="1"/>
    </w:lvl>
    <w:lvl w:ilvl="1">
      <w:lvlJc w:val="left"/>
      <w:lvlText w:val="(%2)"/>
      <w:numFmt w:val="decimal"/>
      <w:start w:val="2"/>
    </w:lvl>
  </w:abstractNum>
  <w:abstractNum w:abstractNumId="25">
    <w:nsid w:val="77AE35EB"/>
    <w:multiLevelType w:val="hybridMultilevel"/>
    <w:lvl w:ilvl="0">
      <w:lvlJc w:val="left"/>
      <w:lvlText w:val="%1."/>
      <w:numFmt w:val="lowerRoman"/>
      <w:start w:val="3"/>
    </w:lvl>
    <w:lvl w:ilvl="1">
      <w:lvlJc w:val="left"/>
      <w:lvlText w:val="%2"/>
      <w:numFmt w:val="decimal"/>
      <w:start w:val="1"/>
    </w:lvl>
  </w:abstractNum>
  <w:abstractNum w:abstractNumId="26">
    <w:nsid w:val="579BE4F1"/>
    <w:multiLevelType w:val="hybridMultilevel"/>
    <w:lvl w:ilvl="0">
      <w:lvlJc w:val="left"/>
      <w:lvlText w:val="%1."/>
      <w:numFmt w:val="lowerRoman"/>
      <w:start w:val="4"/>
    </w:lvl>
  </w:abstractNum>
  <w:abstractNum w:abstractNumId="27">
    <w:nsid w:val="310C50B3"/>
    <w:multiLevelType w:val="hybridMultilevel"/>
    <w:lvl w:ilvl="0">
      <w:lvlJc w:val="left"/>
      <w:lvlText w:val="%1."/>
      <w:numFmt w:val="lowerRoman"/>
      <w:start w:val="1"/>
    </w:lvl>
  </w:abstractNum>
  <w:abstractNum w:abstractNumId="28">
    <w:nsid w:val="5FF87E05"/>
    <w:multiLevelType w:val="hybridMultilevel"/>
    <w:lvl w:ilvl="0">
      <w:lvlJc w:val="left"/>
      <w:lvlText w:val="%1."/>
      <w:numFmt w:val="lowerRoman"/>
      <w:start w:val="2"/>
    </w:lvl>
  </w:abstractNum>
  <w:abstractNum w:abstractNumId="29">
    <w:nsid w:val="2F305DEF"/>
    <w:multiLevelType w:val="hybridMultilevel"/>
    <w:lvl w:ilvl="0">
      <w:lvlJc w:val="left"/>
      <w:lvlText w:val="%1."/>
      <w:numFmt w:val="lowerRoman"/>
      <w:start w:val="3"/>
    </w:lvl>
    <w:lvl w:ilvl="1">
      <w:lvlJc w:val="left"/>
      <w:lvlText w:val="(%2)"/>
      <w:numFmt w:val="decimal"/>
      <w:start w:val="1"/>
    </w:lvl>
  </w:abstractNum>
  <w:abstractNum w:abstractNumId="30">
    <w:nsid w:val="25A70BF7"/>
    <w:multiLevelType w:val="hybridMultilevel"/>
    <w:lvl w:ilvl="0">
      <w:lvlJc w:val="left"/>
      <w:lvlText w:val="%1"/>
      <w:numFmt w:val="lowerRoman"/>
      <w:start w:val="1"/>
    </w:lvl>
    <w:lvl w:ilvl="1">
      <w:lvlJc w:val="left"/>
      <w:lvlText w:val="(%2)"/>
      <w:numFmt w:val="decimal"/>
      <w:start w:val="3"/>
    </w:lvl>
  </w:abstractNum>
  <w:abstractNum w:abstractNumId="31">
    <w:nsid w:val="1DBABF00"/>
    <w:multiLevelType w:val="hybridMultilevel"/>
    <w:lvl w:ilvl="0">
      <w:lvlJc w:val="left"/>
      <w:lvlText w:val="%1."/>
      <w:numFmt w:val="lowerRoman"/>
      <w:start w:val="4"/>
    </w:lvl>
    <w:lvl w:ilvl="1">
      <w:lvlJc w:val="left"/>
      <w:lvlText w:val="(%2)"/>
      <w:numFmt w:val="decimal"/>
      <w:start w:val="1"/>
    </w:lvl>
  </w:abstractNum>
  <w:abstractNum w:abstractNumId="32">
    <w:nsid w:val="4AD084E9"/>
    <w:multiLevelType w:val="hybridMultilevel"/>
    <w:lvl w:ilvl="0">
      <w:lvlJc w:val="left"/>
      <w:lvlText w:val="%1."/>
      <w:numFmt w:val="lowerRoman"/>
      <w:start w:val="5"/>
    </w:lvl>
    <w:lvl w:ilvl="1">
      <w:lvlJc w:val="left"/>
      <w:lvlText w:val="(%2)"/>
      <w:numFmt w:val="decimal"/>
      <w:start w:val="1"/>
    </w:lvl>
    <w:lvl w:ilvl="2">
      <w:lvlJc w:val="left"/>
      <w:lvlText w:val="(%3)"/>
      <w:numFmt w:val="lowerLetter"/>
      <w:start w:val="1"/>
    </w:lvl>
  </w:abstractNum>
  <w:abstractNum w:abstractNumId="33">
    <w:nsid w:val="1F48EAA1"/>
    <w:multiLevelType w:val="hybridMultilevel"/>
    <w:lvl w:ilvl="0">
      <w:lvlJc w:val="left"/>
      <w:lvlText w:val="%1"/>
      <w:numFmt w:val="lowerRoman"/>
      <w:start w:val="1"/>
    </w:lvl>
    <w:lvl w:ilvl="1">
      <w:lvlJc w:val="left"/>
      <w:lvlText w:val="(%2)"/>
      <w:numFmt w:val="lowerLetter"/>
      <w:start w:val="3"/>
    </w:lvl>
  </w:abstractNum>
  <w:abstractNum w:abstractNumId="34">
    <w:nsid w:val="1381823A"/>
    <w:multiLevelType w:val="hybridMultilevel"/>
    <w:lvl w:ilvl="0">
      <w:lvlJc w:val="left"/>
      <w:lvlText w:val="%1."/>
      <w:numFmt w:val="lowerRoman"/>
      <w:start w:val="6"/>
    </w:lvl>
    <w:lvl w:ilvl="1">
      <w:lvlJc w:val="left"/>
      <w:lvlText w:val="%2"/>
      <w:numFmt w:val="lowerLetter"/>
      <w:start w:val="1"/>
    </w:lvl>
  </w:abstractNum>
  <w:abstractNum w:abstractNumId="35">
    <w:nsid w:val="5DB70AE5"/>
    <w:multiLevelType w:val="hybridMultilevel"/>
    <w:lvl w:ilvl="0">
      <w:lvlJc w:val="left"/>
      <w:lvlText w:val="%1."/>
      <w:numFmt w:val="lowerRoman"/>
      <w:start w:val="1"/>
    </w:lvl>
  </w:abstractNum>
  <w:abstractNum w:abstractNumId="36">
    <w:nsid w:val="100F8FCA"/>
    <w:multiLevelType w:val="hybridMultilevel"/>
    <w:lvl w:ilvl="0">
      <w:lvlJc w:val="left"/>
      <w:lvlText w:val="%1."/>
      <w:numFmt w:val="lowerRoman"/>
      <w:start w:val="2"/>
    </w:lvl>
  </w:abstractNum>
  <w:abstractNum w:abstractNumId="37">
    <w:nsid w:val="6590700B"/>
    <w:multiLevelType w:val="hybridMultilevel"/>
    <w:lvl w:ilvl="0">
      <w:lvlJc w:val="left"/>
      <w:lvlText w:val="%1."/>
      <w:numFmt w:val="lowerRoman"/>
      <w:start w:val="3"/>
    </w:lvl>
    <w:lvl w:ilvl="1">
      <w:lvlJc w:val="left"/>
      <w:lvlText w:val="(%2)"/>
      <w:numFmt w:val="decimal"/>
      <w:start w:val="1"/>
    </w:lvl>
  </w:abstractNum>
  <w:abstractNum w:abstractNumId="38">
    <w:nsid w:val="15014ACB"/>
    <w:multiLevelType w:val="hybridMultilevel"/>
    <w:lvl w:ilvl="0">
      <w:lvlJc w:val="left"/>
      <w:lvlText w:val="%1"/>
      <w:numFmt w:val="lowerRoman"/>
      <w:start w:val="1"/>
    </w:lvl>
    <w:lvl w:ilvl="1">
      <w:lvlJc w:val="left"/>
      <w:lvlText w:val="(%2)"/>
      <w:numFmt w:val="decimal"/>
      <w:start w:val="3"/>
    </w:lvl>
  </w:abstractNum>
  <w:abstractNum w:abstractNumId="39">
    <w:nsid w:val="5F5E7FD0"/>
    <w:multiLevelType w:val="hybridMultilevel"/>
    <w:lvl w:ilvl="0">
      <w:lvlJc w:val="left"/>
      <w:lvlText w:val="%1."/>
      <w:numFmt w:val="lowerRoman"/>
      <w:start w:val="4"/>
    </w:lvl>
    <w:lvl w:ilvl="1">
      <w:lvlJc w:val="left"/>
      <w:lvlText w:val="(%2)"/>
      <w:numFmt w:val="decimal"/>
      <w:start w:val="1"/>
    </w:lvl>
  </w:abstractNum>
  <w:abstractNum w:abstractNumId="40">
    <w:nsid w:val="98A3148"/>
    <w:multiLevelType w:val="hybridMultilevel"/>
    <w:lvl w:ilvl="0">
      <w:lvlJc w:val="left"/>
      <w:lvlText w:val="%1"/>
      <w:numFmt w:val="lowerRoman"/>
      <w:start w:val="1"/>
    </w:lvl>
    <w:lvl w:ilvl="1">
      <w:lvlJc w:val="left"/>
      <w:lvlText w:val="(%2)"/>
      <w:numFmt w:val="decimal"/>
      <w:start w:val="3"/>
    </w:lvl>
  </w:abstractNum>
  <w:abstractNum w:abstractNumId="41">
    <w:nsid w:val="799D0247"/>
    <w:multiLevelType w:val="hybridMultilevel"/>
    <w:lvl w:ilvl="0">
      <w:lvlJc w:val="left"/>
      <w:lvlText w:val="%1."/>
      <w:numFmt w:val="lowerRoman"/>
      <w:start w:val="5"/>
    </w:lvl>
    <w:lvl w:ilvl="1">
      <w:lvlJc w:val="left"/>
      <w:lvlText w:val="%2"/>
      <w:numFmt w:val="decimal"/>
      <w:start w:val="1"/>
    </w:lvl>
  </w:abstractNum>
  <w:abstractNum w:abstractNumId="42">
    <w:nsid w:val="6B94764"/>
    <w:multiLevelType w:val="hybridMultilevel"/>
    <w:lvl w:ilvl="0">
      <w:lvlJc w:val="left"/>
      <w:lvlText w:val="(%1)"/>
      <w:numFmt w:val="decimal"/>
      <w:start w:val="1"/>
    </w:lvl>
  </w:abstractNum>
  <w:abstractNum w:abstractNumId="43">
    <w:nsid w:val="42C296BD"/>
    <w:multiLevelType w:val="hybridMultilevel"/>
    <w:lvl w:ilvl="0">
      <w:lvlJc w:val="left"/>
      <w:lvlText w:val="%1."/>
      <w:numFmt w:val="lowerRoman"/>
      <w:start w:val="1"/>
    </w:lvl>
  </w:abstractNum>
  <w:abstractNum w:abstractNumId="44">
    <w:nsid w:val="168E121F"/>
    <w:multiLevelType w:val="hybridMultilevel"/>
    <w:lvl w:ilvl="0">
      <w:lvlJc w:val="left"/>
      <w:lvlText w:val="%1."/>
      <w:numFmt w:val="lowerRoman"/>
      <w:start w:val="2"/>
    </w:lvl>
    <w:lvl w:ilvl="1">
      <w:lvlJc w:val="left"/>
      <w:lvlText w:val="(%2)"/>
      <w:numFmt w:val="decimal"/>
      <w:start w:val="1"/>
    </w:lvl>
  </w:abstractNum>
  <w:abstractNum w:abstractNumId="45">
    <w:nsid w:val="1EBA5D23"/>
    <w:multiLevelType w:val="hybridMultilevel"/>
    <w:lvl w:ilvl="0">
      <w:lvlJc w:val="left"/>
      <w:lvlText w:val="%1"/>
      <w:numFmt w:val="lowerRoman"/>
      <w:start w:val="1"/>
    </w:lvl>
    <w:lvl w:ilvl="1">
      <w:lvlJc w:val="left"/>
      <w:lvlText w:val="(%2)"/>
      <w:numFmt w:val="decimal"/>
      <w:start w:val="2"/>
    </w:lvl>
  </w:abstractNum>
  <w:abstractNum w:abstractNumId="46">
    <w:nsid w:val="661E3F1E"/>
    <w:multiLevelType w:val="hybridMultilevel"/>
    <w:lvl w:ilvl="0">
      <w:lvlJc w:val="left"/>
      <w:lvlText w:val="%1."/>
      <w:numFmt w:val="lowerRoman"/>
      <w:start w:val="3"/>
    </w:lvl>
    <w:lvl w:ilvl="1">
      <w:lvlJc w:val="left"/>
      <w:lvlText w:val="%2"/>
      <w:numFmt w:val="decimal"/>
      <w:start w:val="1"/>
    </w:lvl>
  </w:abstractNum>
  <w:abstractNum w:abstractNumId="47">
    <w:nsid w:val="5DC79EA8"/>
    <w:multiLevelType w:val="hybridMultilevel"/>
    <w:lvl w:ilvl="0">
      <w:lvlJc w:val="left"/>
      <w:lvlText w:val="%1."/>
      <w:numFmt w:val="lowerRoman"/>
      <w:start w:val="4"/>
    </w:lvl>
  </w:abstractNum>
  <w:abstractNum w:abstractNumId="48">
    <w:nsid w:val="540A471C"/>
    <w:multiLevelType w:val="hybridMultilevel"/>
    <w:lvl w:ilvl="0">
      <w:lvlJc w:val="left"/>
      <w:lvlText w:val="%1."/>
      <w:numFmt w:val="lowerRoman"/>
      <w:start w:val="5"/>
    </w:lvl>
  </w:abstractNum>
  <w:abstractNum w:abstractNumId="49">
    <w:nsid w:val="7BD3EE7B"/>
    <w:multiLevelType w:val="hybridMultilevel"/>
    <w:lvl w:ilvl="0">
      <w:lvlJc w:val="left"/>
      <w:lvlText w:val="%1."/>
      <w:numFmt w:val="lowerRoman"/>
      <w:start w:val="1"/>
    </w:lvl>
  </w:abstractNum>
  <w:abstractNum w:abstractNumId="50">
    <w:nsid w:val="51D9C564"/>
    <w:multiLevelType w:val="hybridMultilevel"/>
    <w:lvl w:ilvl="0">
      <w:lvlJc w:val="left"/>
      <w:lvlText w:val="%1."/>
      <w:numFmt w:val="lowerRoman"/>
      <w:start w:val="2"/>
    </w:lvl>
  </w:abstractNum>
  <w:abstractNum w:abstractNumId="51">
    <w:nsid w:val="613EFDC5"/>
    <w:multiLevelType w:val="hybridMultilevel"/>
    <w:lvl w:ilvl="0">
      <w:lvlJc w:val="left"/>
      <w:lvlText w:val="%1."/>
      <w:numFmt w:val="lowerRoman"/>
      <w:start w:val="3"/>
    </w:lvl>
  </w:abstractNum>
  <w:abstractNum w:abstractNumId="52">
    <w:nsid w:val="BF72B14"/>
    <w:multiLevelType w:val="hybridMultilevel"/>
    <w:lvl w:ilvl="0">
      <w:lvlJc w:val="left"/>
      <w:lvlText w:val="%1."/>
      <w:numFmt w:val="lowerRoman"/>
      <w:start w:val="4"/>
    </w:lvl>
  </w:abstractNum>
  <w:abstractNum w:abstractNumId="53">
    <w:nsid w:val="11447B73"/>
    <w:multiLevelType w:val="hybridMultilevel"/>
    <w:lvl w:ilvl="0">
      <w:lvlJc w:val="left"/>
      <w:lvlText w:val="%1."/>
      <w:numFmt w:val="lowerRoman"/>
      <w:start w:val="5"/>
    </w:lvl>
  </w:abstractNum>
  <w:abstractNum w:abstractNumId="54">
    <w:nsid w:val="42963E5A"/>
    <w:multiLevelType w:val="hybridMultilevel"/>
    <w:lvl w:ilvl="0">
      <w:lvlJc w:val="left"/>
      <w:lvlText w:val="%1."/>
      <w:numFmt w:val="lowerRoman"/>
      <w:start w:val="6"/>
    </w:lvl>
  </w:abstractNum>
  <w:abstractNum w:abstractNumId="55">
    <w:nsid w:val="A0382C5"/>
    <w:multiLevelType w:val="hybridMultilevel"/>
    <w:lvl w:ilvl="0">
      <w:lvlJc w:val="left"/>
      <w:lvlText w:val="%1."/>
      <w:numFmt w:val="lowerRoman"/>
      <w:start w:val="7"/>
    </w:lvl>
  </w:abstractNum>
  <w:abstractNum w:abstractNumId="56">
    <w:nsid w:val="8F2B15E"/>
    <w:multiLevelType w:val="hybridMultilevel"/>
    <w:lvl w:ilvl="0">
      <w:lvlJc w:val="left"/>
      <w:lvlText w:val="%1."/>
      <w:numFmt w:val="lowerRoman"/>
      <w:start w:val="8"/>
    </w:lvl>
  </w:abstractNum>
  <w:abstractNum w:abstractNumId="57">
    <w:nsid w:val="1A32234B"/>
    <w:multiLevelType w:val="hybridMultilevel"/>
    <w:lvl w:ilvl="0">
      <w:lvlJc w:val="left"/>
      <w:lvlText w:val="%1"/>
      <w:numFmt w:val="lowerRoman"/>
      <w:start w:val="1"/>
    </w:lvl>
    <w:lvl w:ilvl="1">
      <w:lvlJc w:val="left"/>
      <w:lvlText w:val="(%2)"/>
      <w:numFmt w:val="decimal"/>
      <w:start w:val="1"/>
    </w:lvl>
  </w:abstractNum>
  <w:abstractNum w:abstractNumId="58">
    <w:nsid w:val="3B0FD379"/>
    <w:multiLevelType w:val="hybridMultilevel"/>
    <w:lvl w:ilvl="0">
      <w:lvlJc w:val="left"/>
      <w:lvlText w:val="%1."/>
      <w:numFmt w:val="lowerRoman"/>
      <w:start w:val="9"/>
    </w:lvl>
    <w:lvl w:ilvl="1">
      <w:lvlJc w:val="left"/>
      <w:lvlText w:val="%2"/>
      <w:numFmt w:val="decimal"/>
      <w:start w:val="1"/>
    </w:lvl>
  </w:abstractNum>
  <w:abstractNum w:abstractNumId="59">
    <w:nsid w:val="68EB2F63"/>
    <w:multiLevelType w:val="hybridMultilevel"/>
    <w:lvl w:ilvl="0">
      <w:lvlJc w:val="left"/>
      <w:lvlText w:val="%1."/>
      <w:numFmt w:val="lowerRoman"/>
      <w:start w:val="10"/>
    </w:lvl>
  </w:abstractNum>
  <w:abstractNum w:abstractNumId="60">
    <w:nsid w:val="4962813B"/>
    <w:multiLevelType w:val="hybridMultilevel"/>
    <w:lvl w:ilvl="0">
      <w:lvlJc w:val="left"/>
      <w:lvlText w:val="%1."/>
      <w:numFmt w:val="lowerRoman"/>
      <w:start w:val="11"/>
    </w:lvl>
  </w:abstractNum>
  <w:abstractNum w:abstractNumId="61">
    <w:nsid w:val="60B6DF70"/>
    <w:multiLevelType w:val="hybridMultilevel"/>
    <w:lvl w:ilvl="0">
      <w:lvlJc w:val="left"/>
      <w:lvlText w:val="(%1)"/>
      <w:numFmt w:val="lowerLetter"/>
      <w:start w:val="3"/>
    </w:lvl>
  </w:abstractNum>
  <w:abstractNum w:abstractNumId="62">
    <w:nsid w:val="6A5EE64"/>
    <w:multiLevelType w:val="hybridMultilevel"/>
    <w:lvl w:ilvl="0">
      <w:lvlJc w:val="left"/>
      <w:lvlText w:val="%1."/>
      <w:numFmt w:val="lowerRoman"/>
      <w:start w:val="1"/>
    </w:lvl>
  </w:abstractNum>
  <w:abstractNum w:abstractNumId="63">
    <w:nsid w:val="14330624"/>
    <w:multiLevelType w:val="hybridMultilevel"/>
    <w:lvl w:ilvl="0">
      <w:lvlJc w:val="left"/>
      <w:lvlText w:val="%1."/>
      <w:numFmt w:val="lowerRoman"/>
      <w:start w:val="2"/>
    </w:lvl>
  </w:abstractNum>
  <w:abstractNum w:abstractNumId="64">
    <w:nsid w:val="7FFFCA11"/>
    <w:multiLevelType w:val="hybridMultilevel"/>
    <w:lvl w:ilvl="0">
      <w:lvlJc w:val="left"/>
      <w:lvlText w:val="%1."/>
      <w:numFmt w:val="lowerLetter"/>
      <w:start w:val="1"/>
    </w:lvl>
  </w:abstractNum>
  <w:abstractNum w:abstractNumId="65">
    <w:nsid w:val="1A27709E"/>
    <w:multiLevelType w:val="hybridMultilevel"/>
    <w:lvl w:ilvl="0">
      <w:lvlJc w:val="left"/>
      <w:lvlText w:val="%1."/>
      <w:numFmt w:val="lowerLetter"/>
      <w:start w:val="2"/>
    </w:lvl>
  </w:abstractNum>
  <w:abstractNum w:abstractNumId="66">
    <w:nsid w:val="71EA1109"/>
    <w:multiLevelType w:val="hybridMultilevel"/>
    <w:lvl w:ilvl="0">
      <w:lvlJc w:val="left"/>
      <w:lvlText w:val="%1."/>
      <w:numFmt w:val="lowerLetter"/>
      <w:start w:val="3"/>
    </w:lvl>
  </w:abstractNum>
  <w:abstractNum w:abstractNumId="67">
    <w:nsid w:val="100F59DC"/>
    <w:multiLevelType w:val="hybridMultilevel"/>
    <w:lvl w:ilvl="0">
      <w:lvlJc w:val="left"/>
      <w:lvlText w:val="%1."/>
      <w:numFmt w:val="lowerLetter"/>
      <w:start w:val="4"/>
    </w:lvl>
  </w:abstractNum>
  <w:abstractNum w:abstractNumId="68">
    <w:nsid w:val="7FB7E0AA"/>
    <w:multiLevelType w:val="hybridMultilevel"/>
    <w:lvl w:ilvl="0">
      <w:lvlJc w:val="left"/>
      <w:lvlText w:val="%1."/>
      <w:numFmt w:val="lowerLetter"/>
      <w:start w:val="5"/>
    </w:lvl>
    <w:lvl w:ilvl="1">
      <w:lvlJc w:val="left"/>
      <w:lvlText w:val="%2."/>
      <w:numFmt w:val="decimal"/>
      <w:start w:val="1"/>
    </w:lvl>
    <w:lvl w:ilvl="2">
      <w:lvlJc w:val="left"/>
      <w:lvlText w:val="%3."/>
      <w:numFmt w:val="decimal"/>
      <w:start w:val="1"/>
    </w:lvl>
  </w:abstractNum>
  <w:abstractNum w:abstractNumId="69">
    <w:nsid w:val="6EB5BD4"/>
    <w:multiLevelType w:val="hybridMultilevel"/>
    <w:lvl w:ilvl="0">
      <w:lvlJc w:val="left"/>
      <w:lvlText w:val="%1"/>
      <w:numFmt w:val="decimal"/>
      <w:start w:val="1"/>
    </w:lvl>
    <w:lvl w:ilvl="1">
      <w:lvlJc w:val="left"/>
      <w:lvlText w:val="%2."/>
      <w:numFmt w:val="decimal"/>
      <w:start w:val="2"/>
    </w:lvl>
  </w:abstractNum>
  <w:abstractNum w:abstractNumId="70">
    <w:nsid w:val="6F6DD9AC"/>
    <w:multiLevelType w:val="hybridMultilevel"/>
    <w:lvl w:ilvl="0">
      <w:lvlJc w:val="left"/>
      <w:lvlText w:val="%1."/>
      <w:numFmt w:val="decimal"/>
      <w:start w:val="2"/>
    </w:lvl>
    <w:lvl w:ilvl="1">
      <w:lvlJc w:val="left"/>
      <w:lvlText w:val="%2"/>
      <w:numFmt w:val="decimal"/>
      <w:start w:val="1"/>
    </w:lvl>
  </w:abstractNum>
  <w:abstractNum w:abstractNumId="71">
    <w:nsid w:val="94211F2"/>
    <w:multiLevelType w:val="hybridMultilevel"/>
    <w:lvl w:ilvl="0">
      <w:lvlJc w:val="left"/>
      <w:lvlText w:val="%1."/>
      <w:numFmt w:val="lowerLetter"/>
      <w:start w:val="6"/>
    </w:lvl>
  </w:abstractNum>
  <w:abstractNum w:abstractNumId="72">
    <w:nsid w:val="885E1B"/>
    <w:multiLevelType w:val="hybridMultilevel"/>
    <w:lvl w:ilvl="0">
      <w:lvlJc w:val="left"/>
      <w:lvlText w:val="%1."/>
      <w:numFmt w:val="lowerLetter"/>
      <w:start w:val="7"/>
    </w:lvl>
  </w:abstractNum>
  <w:abstractNum w:abstractNumId="73">
    <w:nsid w:val="76272110"/>
    <w:multiLevelType w:val="hybridMultilevel"/>
    <w:lvl w:ilvl="0">
      <w:lvlJc w:val="left"/>
      <w:lvlText w:val="%1."/>
      <w:numFmt w:val="lowerLetter"/>
      <w:start w:val="8"/>
    </w:lvl>
  </w:abstractNum>
  <w:abstractNum w:abstractNumId="74">
    <w:nsid w:val="4C04A8AF"/>
    <w:multiLevelType w:val="hybridMultilevel"/>
    <w:lvl w:ilvl="0">
      <w:lvlJc w:val="left"/>
      <w:lvlText w:val="%1."/>
      <w:numFmt w:val="lowerRoman"/>
      <w:start w:val="1"/>
    </w:lvl>
    <w:lvl w:ilvl="1">
      <w:lvlJc w:val="left"/>
      <w:lvlText w:val="%2."/>
      <w:numFmt w:val="decimal"/>
      <w:start w:val="3"/>
    </w:lvl>
  </w:abstractNum>
  <w:abstractNum w:abstractNumId="75">
    <w:nsid w:val="1716703B"/>
    <w:multiLevelType w:val="hybridMultilevel"/>
    <w:lvl w:ilvl="0">
      <w:lvlJc w:val="left"/>
      <w:lvlText w:val="%1."/>
      <w:numFmt w:val="lowerLetter"/>
      <w:start w:val="10"/>
    </w:lvl>
  </w:abstractNum>
  <w:abstractNum w:abstractNumId="76">
    <w:nsid w:val="14E17E33"/>
    <w:multiLevelType w:val="hybridMultilevel"/>
    <w:lvl w:ilvl="0">
      <w:lvlJc w:val="left"/>
      <w:lvlText w:val="%1."/>
      <w:numFmt w:val="lowerLetter"/>
      <w:start w:val="11"/>
    </w:lvl>
  </w:abstractNum>
  <w:abstractNum w:abstractNumId="77">
    <w:nsid w:val="3222E7CD"/>
    <w:multiLevelType w:val="hybridMultilevel"/>
    <w:lvl w:ilvl="0">
      <w:lvlJc w:val="left"/>
      <w:lvlText w:val="%1."/>
      <w:numFmt w:val="lowerLetter"/>
      <w:start w:val="12"/>
    </w:lvl>
  </w:abstractNum>
  <w:abstractNum w:abstractNumId="78">
    <w:nsid w:val="74DE0EE3"/>
    <w:multiLevelType w:val="hybridMultilevel"/>
    <w:lvl w:ilvl="0">
      <w:lvlJc w:val="left"/>
      <w:lvlText w:val="%1."/>
      <w:numFmt w:val="lowerLetter"/>
      <w:start w:val="13"/>
    </w:lvl>
  </w:abstractNum>
  <w:abstractNum w:abstractNumId="79">
    <w:nsid w:val="68EBC550"/>
    <w:multiLevelType w:val="hybridMultilevel"/>
    <w:lvl w:ilvl="0">
      <w:lvlJc w:val="left"/>
      <w:lvlText w:val="%1."/>
      <w:numFmt w:val="lowerLetter"/>
      <w:start w:val="14"/>
    </w:lvl>
  </w:abstractNum>
  <w:abstractNum w:abstractNumId="80">
    <w:nsid w:val="2DF6D648"/>
    <w:multiLevelType w:val="hybridMultilevel"/>
    <w:lvl w:ilvl="0">
      <w:lvlJc w:val="left"/>
      <w:lvlText w:val="%1."/>
      <w:numFmt w:val="lowerLetter"/>
      <w:start w:val="15"/>
    </w:lvl>
  </w:abstractNum>
  <w:abstractNum w:abstractNumId="81">
    <w:nsid w:val="46B7D447"/>
    <w:multiLevelType w:val="hybridMultilevel"/>
    <w:lvl w:ilvl="0">
      <w:lvlJc w:val="left"/>
      <w:lvlText w:val="%1."/>
      <w:numFmt w:val="lowerLetter"/>
      <w:start w:val="16"/>
    </w:lvl>
  </w:abstractNum>
  <w:abstractNum w:abstractNumId="82">
    <w:nsid w:val="4A2AC315"/>
    <w:multiLevelType w:val="hybridMultilevel"/>
    <w:lvl w:ilvl="0">
      <w:lvlJc w:val="left"/>
      <w:lvlText w:val="%1."/>
      <w:numFmt w:val="lowerLetter"/>
      <w:start w:val="17"/>
    </w:lvl>
  </w:abstractNum>
  <w:abstractNum w:abstractNumId="83">
    <w:nsid w:val="39EE015C"/>
    <w:multiLevelType w:val="hybridMultilevel"/>
    <w:lvl w:ilvl="0">
      <w:lvlJc w:val="left"/>
      <w:lvlText w:val="%1."/>
      <w:numFmt w:val="lowerLetter"/>
      <w:start w:val="18"/>
    </w:lvl>
  </w:abstractNum>
  <w:abstractNum w:abstractNumId="84">
    <w:nsid w:val="57FC4FBB"/>
    <w:multiLevelType w:val="hybridMultilevel"/>
    <w:lvl w:ilvl="0">
      <w:lvlJc w:val="left"/>
      <w:lvlText w:val="%1."/>
      <w:numFmt w:val="lowerLetter"/>
      <w:start w:val="19"/>
    </w:lvl>
  </w:abstractNum>
  <w:abstractNum w:abstractNumId="85">
    <w:nsid w:val="CC1016F"/>
    <w:multiLevelType w:val="hybridMultilevel"/>
    <w:lvl w:ilvl="0">
      <w:lvlJc w:val="left"/>
      <w:lvlText w:val="%1."/>
      <w:numFmt w:val="lowerLetter"/>
      <w:start w:val="20"/>
    </w:lvl>
    <w:lvl w:ilvl="1">
      <w:lvlJc w:val="left"/>
      <w:lvlText w:val="%2."/>
      <w:numFmt w:val="decimal"/>
      <w:start w:val="5"/>
    </w:lvl>
  </w:abstractNum>
  <w:abstractNum w:abstractNumId="86">
    <w:nsid w:val="43F18422"/>
    <w:multiLevelType w:val="hybridMultilevel"/>
    <w:lvl w:ilvl="0">
      <w:lvlJc w:val="left"/>
      <w:lvlText w:val="%1."/>
      <w:numFmt w:val="lowerRoman"/>
      <w:start w:val="5"/>
    </w:lvl>
  </w:abstractNum>
  <w:abstractNum w:abstractNumId="87">
    <w:nsid w:val="60EF0119"/>
    <w:multiLevelType w:val="hybridMultilevel"/>
    <w:lvl w:ilvl="0">
      <w:lvlJc w:val="left"/>
      <w:lvlText w:val="•"/>
      <w:numFmt w:val="bullet"/>
      <w:start w:val="1"/>
    </w:lvl>
    <w:lvl w:ilvl="1">
      <w:lvlJc w:val="left"/>
      <w:lvlText w:val="◦"/>
      <w:numFmt w:val="bullet"/>
      <w:start w:val="1"/>
    </w:lvl>
  </w:abstractNum>
  <w:abstractNum w:abstractNumId="88">
    <w:nsid w:val="26F324BA"/>
    <w:multiLevelType w:val="hybridMultilevel"/>
    <w:lvl w:ilvl="0">
      <w:lvlJc w:val="left"/>
      <w:lvlText w:val="%1."/>
      <w:numFmt w:val="lowerLetter"/>
      <w:start w:val="1"/>
    </w:lvl>
  </w:abstractNum>
  <w:abstractNum w:abstractNumId="89">
    <w:nsid w:val="7F01579B"/>
    <w:multiLevelType w:val="hybridMultilevel"/>
    <w:lvl w:ilvl="0">
      <w:lvlJc w:val="left"/>
      <w:lvlText w:val="%1."/>
      <w:numFmt w:val="lowerRoman"/>
      <w:start w:val="1"/>
    </w:lvl>
    <w:lvl w:ilvl="1">
      <w:lvlJc w:val="left"/>
      <w:lvlText w:val="%2."/>
      <w:numFmt w:val="lowerLetter"/>
      <w:start w:val="4"/>
    </w:lvl>
  </w:abstractNum>
  <w:abstractNum w:abstractNumId="90">
    <w:nsid w:val="49DA307D"/>
    <w:multiLevelType w:val="hybridMultilevel"/>
    <w:lvl w:ilvl="0">
      <w:lvlJc w:val="left"/>
      <w:lvlText w:val="(%1)"/>
      <w:numFmt w:val="lowerRoman"/>
      <w:start w:val="1"/>
    </w:lvl>
  </w:abstractNum>
  <w:abstractNum w:abstractNumId="91">
    <w:nsid w:val="7055A5F5"/>
    <w:multiLevelType w:val="hybridMultilevel"/>
    <w:lvl w:ilvl="0">
      <w:lvlJc w:val="left"/>
      <w:lvlText w:val="•"/>
      <w:numFmt w:val="bullet"/>
      <w:start w:val="1"/>
    </w:lvl>
  </w:abstractNum>
  <w:abstractNum w:abstractNumId="92">
    <w:nsid w:val="5FB8370B"/>
    <w:multiLevelType w:val="hybridMultilevel"/>
    <w:lvl w:ilvl="0">
      <w:lvlJc w:val="left"/>
      <w:lvlText w:val="◦"/>
      <w:numFmt w:val="bullet"/>
      <w:start w:val="1"/>
    </w:lvl>
  </w:abstractNum>
  <w:abstractNum w:abstractNumId="93">
    <w:nsid w:val="50801EE1"/>
    <w:multiLevelType w:val="hybridMultilevel"/>
    <w:lvl w:ilvl="0">
      <w:lvlJc w:val="left"/>
      <w:lvlText w:val="(%1)"/>
      <w:numFmt w:val="decimal"/>
      <w:start w:val="90"/>
    </w:lvl>
  </w:abstractNum>
  <w:abstractNum w:abstractNumId="94">
    <w:nsid w:val="488AC1A"/>
    <w:multiLevelType w:val="hybridMultilevel"/>
    <w:lvl w:ilvl="0">
      <w:lvlJc w:val="left"/>
      <w:lvlText w:val="(%1)"/>
      <w:numFmt w:val="decimal"/>
      <w:start w:val="3"/>
    </w:lvl>
  </w:abstractNum>
  <w:abstractNum w:abstractNumId="95">
    <w:nsid w:val="5FB8011C"/>
    <w:multiLevelType w:val="hybridMultilevel"/>
    <w:lvl w:ilvl="0">
      <w:lvlJc w:val="left"/>
      <w:lvlText w:val="%1."/>
      <w:numFmt w:val="lowerLetter"/>
      <w:start w:val="1"/>
    </w:lvl>
  </w:abstractNum>
  <w:abstractNum w:abstractNumId="96">
    <w:nsid w:val="6AA78F7F"/>
    <w:multiLevelType w:val="hybridMultilevel"/>
    <w:lvl w:ilvl="0">
      <w:lvlJc w:val="left"/>
      <w:lvlText w:val="%1."/>
      <w:numFmt w:val="lowerRoman"/>
      <w:start w:val="1"/>
    </w:lvl>
  </w:abstractNum>
  <w:abstractNum w:abstractNumId="97">
    <w:nsid w:val="7672BD23"/>
    <w:multiLevelType w:val="hybridMultilevel"/>
    <w:lvl w:ilvl="0">
      <w:lvlJc w:val="left"/>
      <w:lvlText w:val="%1."/>
      <w:numFmt w:val="decimal"/>
      <w:start w:val="1"/>
    </w:lvl>
    <w:lvl w:ilvl="1">
      <w:lvlJc w:val="left"/>
      <w:lvlText w:val="%2."/>
      <w:numFmt w:val="lowerLetter"/>
      <w:start w:val="1"/>
    </w:lvl>
  </w:abstractNum>
  <w:abstractNum w:abstractNumId="98">
    <w:nsid w:val="6FC75AF8"/>
    <w:multiLevelType w:val="hybridMultilevel"/>
    <w:lvl w:ilvl="0">
      <w:lvlJc w:val="left"/>
      <w:lvlText w:val="%1."/>
      <w:numFmt w:val="decimal"/>
      <w:start w:val="1"/>
    </w:lvl>
    <w:lvl w:ilvl="1">
      <w:lvlJc w:val="left"/>
      <w:lvlText w:val="%2."/>
      <w:numFmt w:val="lowerLetter"/>
      <w:start w:val="1"/>
    </w:lvl>
  </w:abstractNum>
  <w:abstractNum w:abstractNumId="99">
    <w:nsid w:val="6A5F702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8" Type="http://schemas.openxmlformats.org/officeDocument/2006/relationships/hyperlink" Target="http://www.sec.gov/Archives/edgar/data/101829/000010182919000007/a2018-12x3110xkexhibit13.htm" TargetMode="External"/><Relationship Id="rId62" Type="http://schemas.openxmlformats.org/officeDocument/2006/relationships/hyperlink" Target="https://www.sec.gov/ix?doc=/Archives/edgar/data/101829/000010182920000013/utx-2019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2020-05-07T16:12:57Z</dcterms:created>
  <dcterms:modified xsi:type="dcterms:W3CDTF">2020-05-07T16:12:57Z</dcterms:modified>
</cp:coreProperties>
</file>