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Oliver George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 WILSON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RTX Corp</w:t>
              </w:r>
            </w:hyperlink>
            <w:r>
              <w:rPr/>
              <w:t xml:space="preserve"> [ </w:t>
            </w:r>
            <w:r>
              <w:rPr>
                <w:rFonts w:ascii="Times;serif" w:hAnsi="Times;serif"/>
                <w:color w:val="0000FF"/>
                <w:sz w:val="24"/>
                <w:shd w:fill="FFFFFF" w:val="clear"/>
              </w:rPr>
              <w:t>RTX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0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1071"/>
        <w:gridCol w:w="276"/>
        <w:gridCol w:w="906"/>
        <w:gridCol w:w="801"/>
        <w:gridCol w:w="891"/>
        <w:gridCol w:w="1221"/>
        <w:gridCol w:w="801"/>
        <w:gridCol w:w="1176"/>
        <w:gridCol w:w="831"/>
        <w:gridCol w:w="846"/>
      </w:tblGrid>
      <w:tr>
        <w:trPr>
          <w:tblHeader w:val="true"/>
        </w:trPr>
        <w:tc>
          <w:tcPr>
            <w:tcW w:w="131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1,260.8622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1,260.8622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176.07</w:t>
            </w:r>
            <w:r>
              <w:rPr/>
              <w:t xml:space="preserve"> </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17,129.6061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acquired these stock units under the RTX Corporation Board of Directors Deferred Stock Unit Plan (the "Plan") in connection with the reporting person's annual compensation for service as a non-employee director. The Plan provides for payment of a portion or all of the annual compensation in deferred stock units. Upon retirement or termination, the deferred stock units in the director's account under the Plan are converted into an equal number of shares of common stock that, at the director's previous election, are distributed either in a lump-sum or in installments.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oliver-poa_09122025.txt</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Yahl,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oliver-poa_09122025.txt"/>
      <w:bookmarkStart w:id="3" w:name="ksoliverpoa_09122025"/>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KNOW ALL PERSONS BY THESE PRESENTS that the undersigned hereby constitutes and</w:t>
      </w:r>
    </w:p>
    <w:p>
      <w:pPr>
        <w:pStyle w:val="PreformattedText"/>
        <w:bidi w:val="0"/>
        <w:spacing w:before="0" w:after="0"/>
        <w:jc w:val="left"/>
        <w:rPr/>
      </w:pPr>
      <w:r>
        <w:rPr/>
        <w:t>appoints Ramsaran Maharajh, Jr., Edward G. Perrault, Jennifer Yahl,</w:t>
      </w:r>
    </w:p>
    <w:p>
      <w:pPr>
        <w:pStyle w:val="PreformattedText"/>
        <w:bidi w:val="0"/>
        <w:spacing w:before="0" w:after="0"/>
        <w:jc w:val="left"/>
        <w:rPr/>
      </w:pPr>
      <w:r>
        <w:rPr/>
        <w:t>Adam P. Samarillo and Ilia O'Hearn to be his or her true and lawful attorney-</w:t>
      </w:r>
    </w:p>
    <w:p>
      <w:pPr>
        <w:pStyle w:val="PreformattedText"/>
        <w:bidi w:val="0"/>
        <w:spacing w:before="0" w:after="0"/>
        <w:jc w:val="left"/>
        <w:rPr/>
      </w:pPr>
      <w:r>
        <w:rPr/>
        <w:t>in-fact and agent to execute and file for and on behalf of the undersigned</w:t>
      </w:r>
    </w:p>
    <w:p>
      <w:pPr>
        <w:pStyle w:val="PreformattedText"/>
        <w:bidi w:val="0"/>
        <w:spacing w:before="0" w:after="0"/>
        <w:jc w:val="left"/>
        <w:rPr/>
      </w:pPr>
      <w:r>
        <w:rPr/>
        <w:t>(i) any reports on Forms 3, 4, 5 and, if applicable, 144 (including any</w:t>
      </w:r>
    </w:p>
    <w:p>
      <w:pPr>
        <w:pStyle w:val="PreformattedText"/>
        <w:bidi w:val="0"/>
        <w:spacing w:before="0" w:after="0"/>
        <w:jc w:val="left"/>
        <w:rPr/>
      </w:pPr>
      <w:r>
        <w:rPr/>
        <w:t>amendments thereto and any successors to such Forms) with respect to ownership</w:t>
      </w:r>
    </w:p>
    <w:p>
      <w:pPr>
        <w:pStyle w:val="PreformattedText"/>
        <w:bidi w:val="0"/>
        <w:spacing w:before="0" w:after="0"/>
        <w:jc w:val="left"/>
        <w:rPr/>
      </w:pPr>
      <w:r>
        <w:rPr/>
        <w:t>of securities of RTX Corporation (the "Company") that the undersigned may be</w:t>
      </w:r>
    </w:p>
    <w:p>
      <w:pPr>
        <w:pStyle w:val="PreformattedText"/>
        <w:bidi w:val="0"/>
        <w:spacing w:before="0" w:after="0"/>
        <w:jc w:val="left"/>
        <w:rPr/>
      </w:pPr>
      <w:r>
        <w:rPr/>
        <w:t>required to file with the Securities and Exchange Commission in accordance with</w:t>
      </w:r>
    </w:p>
    <w:p>
      <w:pPr>
        <w:pStyle w:val="PreformattedText"/>
        <w:bidi w:val="0"/>
        <w:spacing w:before="0" w:after="0"/>
        <w:jc w:val="left"/>
        <w:rPr/>
      </w:pPr>
      <w:r>
        <w:rPr/>
        <w:t>Section 16(a) of the Securities Exchange Act of 1934 and the rules thereunder</w:t>
      </w:r>
    </w:p>
    <w:p>
      <w:pPr>
        <w:pStyle w:val="PreformattedText"/>
        <w:bidi w:val="0"/>
        <w:spacing w:before="0" w:after="0"/>
        <w:jc w:val="left"/>
        <w:rPr/>
      </w:pPr>
      <w:r>
        <w:rPr/>
        <w:t>and/or Rule 144 under the Securities Act of 1933, and (ii) as necessary, any</w:t>
      </w:r>
    </w:p>
    <w:p>
      <w:pPr>
        <w:pStyle w:val="PreformattedText"/>
        <w:bidi w:val="0"/>
        <w:spacing w:before="0" w:after="0"/>
        <w:jc w:val="left"/>
        <w:rPr/>
      </w:pPr>
      <w:r>
        <w:rPr/>
        <w:t>other documents necessary or appropriate to obtain codes and passwords enabling</w:t>
      </w:r>
    </w:p>
    <w:p>
      <w:pPr>
        <w:pStyle w:val="PreformattedText"/>
        <w:bidi w:val="0"/>
        <w:spacing w:before="0" w:after="0"/>
        <w:jc w:val="left"/>
        <w:rPr/>
      </w:pPr>
      <w:r>
        <w:rPr/>
        <w:t>the undersigned to file such reports electronically.</w:t>
      </w:r>
    </w:p>
    <w:p>
      <w:pPr>
        <w:pStyle w:val="PreformattedText"/>
        <w:bidi w:val="0"/>
        <w:spacing w:before="0" w:after="0"/>
        <w:jc w:val="left"/>
        <w:rPr/>
      </w:pPr>
      <w:r>
        <w:rPr/>
      </w:r>
    </w:p>
    <w:p>
      <w:pPr>
        <w:pStyle w:val="PreformattedText"/>
        <w:bidi w:val="0"/>
        <w:spacing w:before="0" w:after="0"/>
        <w:jc w:val="left"/>
        <w:rPr/>
      </w:pPr>
      <w:r>
        <w:rPr/>
        <w:t xml:space="preserve">        </w:t>
      </w:r>
      <w:r>
        <w:rPr/>
        <w:t>The undersigned acknowledges that the foregoing attorney-in-fact, in serving</w:t>
      </w:r>
    </w:p>
    <w:p>
      <w:pPr>
        <w:pStyle w:val="PreformattedText"/>
        <w:bidi w:val="0"/>
        <w:spacing w:before="0" w:after="0"/>
        <w:jc w:val="left"/>
        <w:rPr/>
      </w:pPr>
      <w:r>
        <w:rPr/>
        <w:t>in such capacity at the request of the undersigned, is not assuming, nor is the</w:t>
      </w:r>
    </w:p>
    <w:p>
      <w:pPr>
        <w:pStyle w:val="PreformattedText"/>
        <w:bidi w:val="0"/>
        <w:spacing w:before="0" w:after="0"/>
        <w:jc w:val="left"/>
        <w:rPr/>
      </w:pPr>
      <w:r>
        <w:rPr/>
        <w:t>Company assuming, any of the undersigned's responsibilities to comply with</w:t>
      </w:r>
    </w:p>
    <w:p>
      <w:pPr>
        <w:pStyle w:val="PreformattedText"/>
        <w:bidi w:val="0"/>
        <w:spacing w:before="0" w:after="0"/>
        <w:jc w:val="left"/>
        <w:rPr/>
      </w:pPr>
      <w:r>
        <w:rPr/>
        <w:t>Section 16 of the Securities Exchange Act of 1934 and/or Rule 144 under the</w:t>
      </w:r>
    </w:p>
    <w:p>
      <w:pPr>
        <w:pStyle w:val="PreformattedText"/>
        <w:bidi w:val="0"/>
        <w:spacing w:before="0" w:after="0"/>
        <w:jc w:val="left"/>
        <w:rPr/>
      </w:pPr>
      <w:r>
        <w:rPr/>
        <w:t>Securities Act of 1933.</w:t>
      </w:r>
    </w:p>
    <w:p>
      <w:pPr>
        <w:pStyle w:val="PreformattedText"/>
        <w:bidi w:val="0"/>
        <w:spacing w:before="0" w:after="0"/>
        <w:jc w:val="left"/>
        <w:rPr/>
      </w:pPr>
      <w:r>
        <w:rPr/>
      </w:r>
    </w:p>
    <w:p>
      <w:pPr>
        <w:pStyle w:val="PreformattedText"/>
        <w:bidi w:val="0"/>
        <w:spacing w:before="0" w:after="0"/>
        <w:jc w:val="left"/>
        <w:rPr/>
      </w:pPr>
      <w:r>
        <w:rPr/>
        <w:t xml:space="preserve">        </w:t>
      </w:r>
      <w:r>
        <w:rPr/>
        <w:t>This Power of Attorney shall remain in full force and effect until the</w:t>
      </w:r>
    </w:p>
    <w:p>
      <w:pPr>
        <w:pStyle w:val="PreformattedText"/>
        <w:bidi w:val="0"/>
        <w:spacing w:before="0" w:after="0"/>
        <w:jc w:val="left"/>
        <w:rPr/>
      </w:pPr>
      <w:r>
        <w:rPr/>
        <w:t>undersigned is no longer required to file Forms 3, 4, 5 and, if applicable, 144</w:t>
      </w:r>
    </w:p>
    <w:p>
      <w:pPr>
        <w:pStyle w:val="PreformattedText"/>
        <w:bidi w:val="0"/>
        <w:spacing w:before="0" w:after="0"/>
        <w:jc w:val="left"/>
        <w:rPr/>
      </w:pPr>
      <w:r>
        <w:rPr/>
        <w:t>with respect to the undersigned's holdings and transactions in securities</w:t>
      </w:r>
    </w:p>
    <w:p>
      <w:pPr>
        <w:pStyle w:val="PreformattedText"/>
        <w:bidi w:val="0"/>
        <w:spacing w:before="0" w:after="0"/>
        <w:jc w:val="left"/>
        <w:rPr/>
      </w:pPr>
      <w:r>
        <w:rPr/>
        <w:t>issued by the Company, unless earlier revoked by the undersigned in a signed</w:t>
      </w:r>
    </w:p>
    <w:p>
      <w:pPr>
        <w:pStyle w:val="PreformattedText"/>
        <w:bidi w:val="0"/>
        <w:spacing w:before="0" w:after="0"/>
        <w:jc w:val="left"/>
        <w:rPr/>
      </w:pPr>
      <w:r>
        <w:rPr/>
        <w:t>writing delivered to the foregoing attorney-in-fact.  This Power of Attorney</w:t>
      </w:r>
    </w:p>
    <w:p>
      <w:pPr>
        <w:pStyle w:val="PreformattedText"/>
        <w:bidi w:val="0"/>
        <w:spacing w:before="0" w:after="0"/>
        <w:jc w:val="left"/>
        <w:rPr/>
      </w:pPr>
      <w:r>
        <w:rPr/>
        <w:t>also serves to revoke and replace as of the date hereof, any prior Power of</w:t>
      </w:r>
    </w:p>
    <w:p>
      <w:pPr>
        <w:pStyle w:val="PreformattedText"/>
        <w:bidi w:val="0"/>
        <w:spacing w:before="0" w:after="0"/>
        <w:jc w:val="left"/>
        <w:rPr/>
      </w:pPr>
      <w:r>
        <w:rPr/>
        <w:t>Attorney executed by the undersigned with respect to the ownership of</w:t>
      </w:r>
    </w:p>
    <w:p>
      <w:pPr>
        <w:pStyle w:val="PreformattedText"/>
        <w:bidi w:val="0"/>
        <w:spacing w:before="0" w:after="0"/>
        <w:jc w:val="left"/>
        <w:rPr/>
      </w:pPr>
      <w:r>
        <w:rPr/>
        <w:t>securities of the Company.</w:t>
      </w:r>
    </w:p>
    <w:p>
      <w:pPr>
        <w:pStyle w:val="PreformattedText"/>
        <w:bidi w:val="0"/>
        <w:spacing w:before="0" w:after="0"/>
        <w:jc w:val="left"/>
        <w:rPr/>
      </w:pPr>
      <w:r>
        <w:rPr/>
      </w:r>
    </w:p>
    <w:p>
      <w:pPr>
        <w:pStyle w:val="PreformattedText"/>
        <w:bidi w:val="0"/>
        <w:spacing w:before="0" w:after="0"/>
        <w:jc w:val="left"/>
        <w:rPr/>
      </w:pPr>
      <w:r>
        <w:rPr/>
        <w:t xml:space="preserve">        </w:t>
      </w:r>
      <w:r>
        <w:rPr/>
        <w:t>IN WITNESS WHEREOF, the undersigned has caused this Power of Attorney</w:t>
      </w:r>
    </w:p>
    <w:p>
      <w:pPr>
        <w:pStyle w:val="PreformattedText"/>
        <w:bidi w:val="0"/>
        <w:spacing w:before="0" w:after="0"/>
        <w:jc w:val="left"/>
        <w:rPr/>
      </w:pPr>
      <w:r>
        <w:rPr/>
        <w:t>to be executed as of this 12th day of September, 2025.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George R. Oliver</w:t>
      </w:r>
    </w:p>
    <w:p>
      <w:pPr>
        <w:pStyle w:val="PreformattedText"/>
        <w:bidi w:val="0"/>
        <w:spacing w:before="0" w:after="0"/>
        <w:jc w:val="left"/>
        <w:rPr/>
      </w:pPr>
      <w:r>
        <w:rPr/>
        <w:t>Name:   George R. Oliver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3297" TargetMode="External"/><Relationship Id="rId5" Type="http://schemas.openxmlformats.org/officeDocument/2006/relationships/hyperlink" Target="http://www.sec.gov/cgi-bin/browse-edgar?action=getcompany&amp;CIK=0000101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978</Words>
  <Characters>5239</Characters>
  <CharactersWithSpaces>6159</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