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25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4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March 31, 2018 there were 800,059,478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2018</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 of Operations for the quarters ended March 31, 2018 and 2017</w:t>
              </w:r>
            </w:hyperlink>
          </w:p>
        </w:tc>
        <w:tc>
          <w:tcPr>
            <w:tcW w:w="32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Comprehensive Income for the quarter</w:t>
              </w:r>
            </w:hyperlink>
            <w:r>
              <w:rPr>
                <w:rFonts w:ascii="Arial" w:cs="Arial" w:eastAsia="Arial" w:hAnsi="Arial"/>
                <w:sz w:val="18"/>
                <w:szCs w:val="18"/>
                <w:color w:val="0000FF"/>
              </w:rPr>
              <w:t>s</w:t>
            </w:r>
            <w:r>
              <w:rPr>
                <w:rFonts w:ascii="Arial" w:cs="Arial" w:eastAsia="Arial" w:hAnsi="Arial"/>
                <w:sz w:val="18"/>
                <w:szCs w:val="18"/>
                <w:color w:val="0000EE"/>
              </w:rPr>
              <w:t xml:space="preserve"> </w:t>
            </w:r>
            <w:r>
              <w:rPr>
                <w:rFonts w:ascii="Arial" w:cs="Arial" w:eastAsia="Arial" w:hAnsi="Arial"/>
                <w:sz w:val="18"/>
                <w:szCs w:val="18"/>
                <w:color w:val="0000FF"/>
              </w:rPr>
              <w:t>ended March 31, 2018 and 2017</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 xml:space="preserve">Condensed Consolidated Balance Sheet at </w:t>
              </w:r>
            </w:hyperlink>
            <w:r>
              <w:rPr>
                <w:rFonts w:ascii="Arial" w:cs="Arial" w:eastAsia="Arial" w:hAnsi="Arial"/>
                <w:sz w:val="18"/>
                <w:szCs w:val="18"/>
                <w:color w:val="0000FF"/>
              </w:rPr>
              <w:t>March</w:t>
            </w:r>
            <w:r>
              <w:rPr>
                <w:rFonts w:ascii="Arial" w:cs="Arial" w:eastAsia="Arial" w:hAnsi="Arial"/>
                <w:sz w:val="18"/>
                <w:szCs w:val="18"/>
                <w:color w:val="0000EE"/>
              </w:rPr>
              <w:t xml:space="preserve"> </w:t>
            </w:r>
            <w:r>
              <w:rPr>
                <w:rFonts w:ascii="Arial" w:cs="Arial" w:eastAsia="Arial" w:hAnsi="Arial"/>
                <w:sz w:val="18"/>
                <w:szCs w:val="18"/>
                <w:color w:val="0000FF"/>
              </w:rPr>
              <w:t>31, 2018 and December 31, 2017</w:t>
            </w:r>
          </w:p>
        </w:tc>
        <w:tc>
          <w:tcPr>
            <w:tcW w:w="6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 xml:space="preserve">Condensed Consolidated Statement of Cash Flows for the </w:t>
              </w:r>
            </w:hyperlink>
            <w:r>
              <w:rPr>
                <w:rFonts w:ascii="Arial" w:cs="Arial" w:eastAsia="Arial" w:hAnsi="Arial"/>
                <w:sz w:val="18"/>
                <w:szCs w:val="18"/>
                <w:color w:val="0000FF"/>
              </w:rPr>
              <w:t>quarters</w:t>
            </w:r>
            <w:r>
              <w:rPr>
                <w:rFonts w:ascii="Arial" w:cs="Arial" w:eastAsia="Arial" w:hAnsi="Arial"/>
                <w:sz w:val="18"/>
                <w:szCs w:val="18"/>
                <w:color w:val="0000EE"/>
              </w:rPr>
              <w:t xml:space="preserve"> </w:t>
            </w:r>
            <w:r>
              <w:rPr>
                <w:rFonts w:ascii="Arial" w:cs="Arial" w:eastAsia="Arial" w:hAnsi="Arial"/>
                <w:sz w:val="18"/>
                <w:szCs w:val="18"/>
                <w:color w:val="0000FF"/>
              </w:rPr>
              <w:t>ended March 31, 2018 and 2017</w:t>
            </w:r>
          </w:p>
        </w:tc>
        <w:tc>
          <w:tcPr>
            <w:tcW w:w="6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tcBorders>
              <w:top w:val="single" w:sz="8" w:color="0000EE"/>
            </w:tcBorders>
            <w:gridSpan w:val="1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Notes to Condensed Consolidated Financial Statements</w:t>
              </w:r>
            </w:hyperlink>
          </w:p>
        </w:tc>
        <w:tc>
          <w:tcPr>
            <w:tcW w:w="2940" w:type="dxa"/>
            <w:vAlign w:val="bottom"/>
            <w:tcBorders>
              <w:top w:val="single" w:sz="8" w:color="0000FF"/>
            </w:tcBorders>
            <w:gridSpan w:val="6"/>
          </w:tcPr>
          <w:p>
            <w:pPr>
              <w:spacing w:after="0"/>
              <w:rPr>
                <w:sz w:val="24"/>
                <w:szCs w:val="24"/>
                <w:color w:val="auto"/>
              </w:rPr>
            </w:pPr>
          </w:p>
        </w:tc>
        <w:tc>
          <w:tcPr>
            <w:tcW w:w="320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 Quantitative and Qualitative Disclosures About Market Risk</w:t>
              </w:r>
            </w:hyperlink>
          </w:p>
        </w:tc>
        <w:tc>
          <w:tcPr>
            <w:tcW w:w="3580" w:type="dxa"/>
            <w:vAlign w:val="bottom"/>
            <w:gridSpan w:val="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Controls and Procedures</w:t>
              </w:r>
            </w:hyperlink>
          </w:p>
        </w:tc>
        <w:tc>
          <w:tcPr>
            <w:tcW w:w="2580" w:type="dxa"/>
            <w:vAlign w:val="bottom"/>
            <w:gridSpan w:val="7"/>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PART II – OTHER INFORMATION</w:t>
              </w:r>
            </w:hyperlink>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w:t>
              </w:r>
            </w:hyperlink>
          </w:p>
        </w:tc>
        <w:tc>
          <w:tcPr>
            <w:tcW w:w="4380" w:type="dxa"/>
            <w:vAlign w:val="bottom"/>
            <w:gridSpan w:val="12"/>
          </w:tcPr>
          <w:p>
            <w:pPr>
              <w:ind w:left="2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7">
              <w:r>
                <w:rPr>
                  <w:rFonts w:ascii="Arial" w:cs="Arial" w:eastAsia="Arial" w:hAnsi="Arial"/>
                  <w:sz w:val="18"/>
                  <w:szCs w:val="18"/>
                  <w:color w:val="0000FF"/>
                  <w:w w:val="90"/>
                </w:rPr>
                <w:t>Item 6.</w:t>
              </w:r>
            </w:hyperlink>
          </w:p>
        </w:tc>
        <w:tc>
          <w:tcPr>
            <w:tcW w:w="4380" w:type="dxa"/>
            <w:vAlign w:val="bottom"/>
            <w:gridSpan w:val="12"/>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SIGNATURES</w:t>
              </w:r>
            </w:hyperlink>
          </w:p>
        </w:tc>
        <w:tc>
          <w:tcPr>
            <w:tcW w:w="9600" w:type="dxa"/>
            <w:vAlign w:val="bottom"/>
            <w:gridSpan w:val="18"/>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8,016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Non-service pension (benefit)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1,386</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91"/>
              <w:spacing w:after="0"/>
              <w:rPr>
                <w:sz w:val="20"/>
                <w:szCs w:val="20"/>
                <w:color w:val="auto"/>
              </w:rPr>
            </w:pPr>
            <w:r>
              <w:rPr>
                <w:rFonts w:ascii="Arial" w:cs="Arial" w:eastAsia="Arial" w:hAnsi="Arial"/>
                <w:sz w:val="14"/>
                <w:szCs w:val="14"/>
                <w:b w:val="1"/>
                <w:bCs w:val="1"/>
                <w:color w:val="auto"/>
                <w:w w:val="96"/>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 (expense) benefit: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and prior service credit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Unrealized holding loss arising during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loss included in 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ASU 2016-01 adoption impact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Tax benefit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7"/>
        </w:trPr>
        <w:tc>
          <w:tcPr>
            <w:tcW w:w="40" w:type="dxa"/>
            <w:vAlign w:val="bottom"/>
          </w:tcPr>
          <w:p>
            <w:pPr>
              <w:spacing w:after="0"/>
              <w:rPr>
                <w:sz w:val="20"/>
                <w:szCs w:val="20"/>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Unrealized cash flow hedging gain arising during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(Gain) loss reclassified into Product sales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w:t>
            </w: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CCEEFF"/>
            </w:tcBorders>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7,667</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8,985</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12,595</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Contract assets, current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2,989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9,881</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 current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1,448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1,397</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32,858</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Customer financing assets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2,522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2,372</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income tax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1,723</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Fixed assets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21,820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21,364</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(11,178)</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Fixed assets, net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10,283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10,186</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28,339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27,910</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15,995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15,883</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5,988</w:t>
            </w:r>
          </w:p>
        </w:tc>
      </w:tr>
      <w:tr>
        <w:trPr>
          <w:trHeight w:val="284"/>
        </w:trPr>
        <w:tc>
          <w:tcPr>
            <w:tcW w:w="40" w:type="dxa"/>
            <w:vAlign w:val="bottom"/>
            <w:tcBorders>
              <w:bottom w:val="single" w:sz="8" w:color="CCEEFF"/>
            </w:tcBorders>
          </w:tcPr>
          <w:p>
            <w:pPr>
              <w:spacing w:after="0"/>
              <w:rPr>
                <w:sz w:val="24"/>
                <w:szCs w:val="24"/>
                <w:color w:val="auto"/>
              </w:rPr>
            </w:pPr>
          </w:p>
        </w:tc>
        <w:tc>
          <w:tcPr>
            <w:tcW w:w="8080" w:type="dxa"/>
            <w:vAlign w:val="bottom"/>
            <w:tcBorders>
              <w:bottom w:val="single" w:sz="8" w:color="CCEEFF"/>
            </w:tcBorders>
            <w:gridSpan w:val="6"/>
          </w:tcPr>
          <w:p>
            <w:pPr>
              <w:ind w:left="340"/>
              <w:spacing w:after="0"/>
              <w:rPr>
                <w:sz w:val="20"/>
                <w:szCs w:val="20"/>
                <w:color w:val="auto"/>
              </w:rPr>
            </w:pPr>
            <w:r>
              <w:rPr>
                <w:rFonts w:ascii="Arial" w:cs="Arial" w:eastAsia="Arial" w:hAnsi="Arial"/>
                <w:sz w:val="17"/>
                <w:szCs w:val="17"/>
                <w:color w:val="auto"/>
              </w:rPr>
              <w:t>Total Assets</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98,779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96,920</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center"/>
              <w:spacing w:after="0" w:line="189" w:lineRule="exact"/>
              <w:rPr>
                <w:sz w:val="20"/>
                <w:szCs w:val="20"/>
                <w:color w:val="auto"/>
              </w:rPr>
            </w:pPr>
            <w:r>
              <w:rPr>
                <w:rFonts w:ascii="Arial" w:cs="Arial" w:eastAsia="Arial" w:hAnsi="Arial"/>
                <w:sz w:val="17"/>
                <w:szCs w:val="17"/>
                <w:b w:val="1"/>
                <w:bCs w:val="1"/>
                <w:color w:val="auto"/>
                <w:w w:val="94"/>
              </w:rPr>
              <w:t>Liabilities and Equity</w:t>
            </w:r>
          </w:p>
        </w:tc>
        <w:tc>
          <w:tcPr>
            <w:tcW w:w="3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Short-term borrowings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1,066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392</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9,579</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7,951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12,316</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Contract liabilities, current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 currently due</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1,128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2,104</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24,391</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25,153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24,989</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3,036</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13,405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12,952</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65,368</w:t>
            </w: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Commitments and contingent liabilities (Note 15)</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w:t>
            </w: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Shareowners' Equity:</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17,574</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Treasury Stock</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(35,619)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(35,596)</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55,242</w:t>
            </w: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Unearned ESOP shares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(7,525)</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Arial" w:cs="Arial" w:eastAsia="Arial" w:hAnsi="Arial"/>
                <w:sz w:val="17"/>
                <w:szCs w:val="17"/>
                <w:color w:val="auto"/>
              </w:rPr>
              <w:t>Total Shareowners'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30,534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29,610</w:t>
            </w:r>
          </w:p>
        </w:tc>
      </w:tr>
      <w:tr>
        <w:trPr>
          <w:trHeight w:val="31"/>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1,811</w:t>
            </w: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32,492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31,421</w:t>
            </w:r>
          </w:p>
        </w:tc>
      </w:tr>
      <w:tr>
        <w:trPr>
          <w:trHeight w:val="31"/>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98,779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96,920</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rPr>
              <w:t>Adjustments to reconcile net income from operations to 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Contract assets,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Contract liabilities, 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Canadian government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sale of investments in Watsco, Inc.</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Payments from settlements of derivative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7,183</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Restricted cash, included in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7,156</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right="160" w:firstLine="567"/>
        <w:spacing w:after="0" w:line="297" w:lineRule="auto"/>
        <w:rPr>
          <w:sz w:val="20"/>
          <w:szCs w:val="20"/>
          <w:color w:val="auto"/>
        </w:rPr>
      </w:pPr>
      <w:r>
        <w:rPr>
          <w:rFonts w:ascii="Arial" w:cs="Arial" w:eastAsia="Arial" w:hAnsi="Arial"/>
          <w:sz w:val="16"/>
          <w:szCs w:val="16"/>
          <w:color w:val="auto"/>
        </w:rPr>
        <w:t>The Condensed Consolidated Financial Statements at March 31, 2018 and for the quarters ended March 31, 2018 and 2017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(2017 Annual Report) incorporated by reference in our Annual Report on Form 10-K for calendar year 2017 (2017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three months ended March 31, 2018, our investment in business acquisitions was $125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consisted of an acquisition at Pratt &amp; Whitney.</w:t>
      </w:r>
    </w:p>
    <w:p>
      <w:pPr>
        <w:spacing w:after="0" w:line="166" w:lineRule="exact"/>
        <w:rPr>
          <w:sz w:val="20"/>
          <w:szCs w:val="20"/>
          <w:color w:val="auto"/>
        </w:rPr>
      </w:pPr>
    </w:p>
    <w:p>
      <w:pPr>
        <w:ind w:right="40" w:firstLine="567"/>
        <w:spacing w:after="0" w:line="286" w:lineRule="auto"/>
        <w:rPr>
          <w:sz w:val="20"/>
          <w:szCs w:val="20"/>
          <w:color w:val="auto"/>
        </w:rPr>
      </w:pPr>
      <w:r>
        <w:rPr>
          <w:rFonts w:ascii="Arial" w:cs="Arial" w:eastAsia="Arial" w:hAnsi="Arial"/>
          <w:sz w:val="16"/>
          <w:szCs w:val="16"/>
          <w:color w:val="auto"/>
        </w:rPr>
        <w:t>On September 4, 2017, we announced that we had entered into a merger agreement with Rockwell Collins, Inc. (Rockwell Collins), under which we agreed to acquire Rockwell Collins. Under the terms of the merger agreement, each Rockwell Collins shareowner will receive $93.33 per share in cash and a fraction of a share of UTC common stock equal to the quotient obtained by dividing $46.67 by the average of the volume-weighted average prices per share of UTC common stock on the NYSE on each of the 20 consecutive trading days ending with the trading day immediately prior to the closing date, (the “UTC Stock Price”), subject to adjustment based on a two-way collar mechanism as described below (the “Stock Consideration”). The cash and UTC stock payable in exchange for each such share of Rockwell Collins common stock are collectively the “Merger Consideration.” The fraction of a share of UTC common stock into which each such share of Rockwell Collins common stock will be converted is the “Exchange Ratio.” The Exchange Ratio will be determined based upon the UTC Stock Price. If the UTC Stock Price is greater than $107.01 but less than $124.37, the Exchange Ratio will be equal to the quotient of (i) $46.67 divided by (ii) the UTC Stock Price, which, in each case, will result in the Stock Consideration having a value equal to $46.67. If the UTC Stock Price is less than or equal to $107.01 or greater than or equal to $124.37, then a two-way collar mechanism will apply, pursuant to which, (x) if the UTC Stock Price is greater than or equal to $124.37, the Exchange Ratio will be fixed at 0.37525 and the value of the Stock Consideration will be greater than $46.67, and (y) if the UTC Stock Price is less than or equal to $107.01, the Exchange Ratio will be fixed at 0.43613 and the value of the Stock Consideration will be less than $46.67. On January 11, 2018, the merger was approved by Rockwell Collins' shareowners. We currently expect that the merger will be completed mid-year 2018, subject to customary closing conditions, including the receipt of required regulatory approvals.</w:t>
      </w:r>
    </w:p>
    <w:p>
      <w:pPr>
        <w:spacing w:after="0" w:line="172"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We anticipate that approximately $15 billion will be required to pay the aggregate cash portion of the Merger Consideration. We expect to fund the cash portion of the Merger Consideration through debt issuances and cash on hand. Additionally, we have entered into a $6.5 billion 364-day unsecured bridge loan credit agreement that would be funded only to the extent certain anticipated debt issuances are not completed prior to the completion of the merger. We expect to assume approximately $7 billion of Rockwell Collins' outstanding debt upon completion of the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quarter ended March 31, 2018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Balance as of March 31,</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2018</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400" w:type="dxa"/>
            <w:vAlign w:val="bottom"/>
          </w:tcPr>
          <w:p>
            <w:pPr>
              <w:spacing w:after="0"/>
              <w:rPr>
                <w:sz w:val="13"/>
                <w:szCs w:val="13"/>
                <w:color w:val="auto"/>
              </w:rPr>
            </w:pPr>
          </w:p>
        </w:tc>
        <w:tc>
          <w:tcPr>
            <w:tcW w:w="1200" w:type="dxa"/>
            <w:vAlign w:val="bottom"/>
          </w:tcPr>
          <w:p>
            <w:pPr>
              <w:jc w:val="right"/>
              <w:ind w:right="572"/>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27,910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7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94"/>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20,427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22,551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are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5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Amortization of intangible assets was $223 million and $205 million for the quarters ended March 31, 2018 and 2017, respectively. The following is the expected amortization of intangible assets for the years 2018 through 2023, which reflects the pattern of expected economic benefit on certain aerospace intangible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2018</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889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906</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ASU 2014-09 and its related amendments (collectively, the New Revenue Standard) are effective for reporting periods beginning after December 15, 2017, and interim periods therein. We adopted the New Revenue Standard effective January 1, 2018 and elected the modified retrospective approach. The results for periods before 2018 were not adjusted for the new standard and the cumulative effect of the change in accounting was recognized through retained earnings at the date of adoption.</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Revenue Recognition Accounting Policy Summary. </w:t>
      </w:r>
      <w:r>
        <w:rPr>
          <w:rFonts w:ascii="Arial" w:cs="Arial" w:eastAsia="Arial" w:hAnsi="Arial"/>
          <w:sz w:val="18"/>
          <w:szCs w:val="18"/>
          <w:color w:val="auto"/>
        </w:rPr>
        <w:t>We account for revenue in accordance with Accounting Standards Codification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Topic 606, a performance obligation is a promise in a contract with a customer to transfer a distinct good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the customer. Some of our contracts with customers contain a single performance obligation, while other contracts contain multiple performance obligations most commonly when contracts span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consider the contractual consideration payable by the customer and assess variable consideration that may affect the total transaction price, including contractual discounts, contract incentive payments, estimates of award fees, and other sources of variable consideration, when determining the transaction price of each contract. We include variable consideration in estimated transaction price when there is a basis to reasonably estimate the amount. These estimates are based on historical experience, anticipated performance and our best judgment at the time. We consider whether our contracts provide customers with significant financing. Generally, our contracts do not contain significant financing.</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Point in time revenue recognition. </w:t>
      </w:r>
      <w:r>
        <w:rPr>
          <w:rFonts w:ascii="Arial" w:cs="Arial" w:eastAsia="Arial" w:hAnsi="Arial"/>
          <w:sz w:val="17"/>
          <w:szCs w:val="17"/>
          <w:color w:val="auto"/>
        </w:rPr>
        <w:t>Timing of the satisfaction of performance obligations varies across our businesses due to our diverse product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mix, customer base, and contractual terms. Performance obligations are satisfied as of a point in time for heating, ventilating, air-conditioning and refrigeration systems, certain alarm and fire detection and suppression systems, and certain aerospace components and engines components. Revenue is recognized when control of the product transfers to the customer, generally upon product shipment.</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Over-time revenue recognition. </w:t>
      </w:r>
      <w:r>
        <w:rPr>
          <w:rFonts w:ascii="Arial" w:cs="Arial" w:eastAsia="Arial" w:hAnsi="Arial"/>
          <w:sz w:val="17"/>
          <w:szCs w:val="17"/>
          <w:color w:val="auto"/>
        </w:rPr>
        <w:t>Performance obligations are satisfied over-time if the customer receives the benefits as we perform work, if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the asset as it is being produced, or if the product being produced for the customer has no alternative use and we have a contractual right to payment. Revenue is recognized for our construction-type and certain production-type contracts on an over-time basis. We recognize revenue on an over-time basis on certain long-term aerospace aftermarket contracts and aftermarket service work; development, fixed price, and other cost reimbursement contracts in our aerospace businesses; and elevator and escalator sales, installation, service, modernization and other construction contracts in our commercial businesses. Commercial businesses service revenue is primarily recognized on a straight-line basis over the contract period. For construction and installation contracts within our commercial businesses and aerospace performance obligations satisfied over time, revenue is recognized using costs incurred to date relative to total estimated costs at completion to measure progress. Incurred costs represent work performed, which correspond with and best depict transfer of control to the customer. Contract costs include labor, materials, and subcontractors' costs, or other direct costs, and where applicable on government and commercial contracts, indirect costs.</w:t>
      </w:r>
    </w:p>
    <w:p>
      <w:pPr>
        <w:spacing w:after="0" w:line="178"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For certain of our long-term aftermarket contracts, revenue is recognized over the contract period. In the commercial businesses, revenue is primarily recognized on a straight-line basis over the contract period. In the aerospace businesses, we generally account for such contracts as a series of daily obligations to stand ready to provide product maintenance and aftermarket services. Revenues are primarily recognized in proportion to cost as sufficient historical evidence indicates that the cost of performing services under the contract are incurred on an other than straight-line basis. Aerospace contract modifications are routine, and contracts are often modified to account for changes in contract specifications or requirements. Contract modifications that are for goods or services that are not distinct are accounted for as part of the existing contract.</w:t>
      </w:r>
    </w:p>
    <w:p>
      <w:pPr>
        <w:spacing w:after="0" w:line="178"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We incur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original equipment (OEM) products are delivered to the customer. In instances where intellectual property does not transfer to the customer, we defer the customer funding of OEM product engineering and development and recognize revenue when the OEM products are delivered to the customer. Costs to obtain contracts are not material.</w:t>
      </w:r>
    </w:p>
    <w:p>
      <w:pPr>
        <w:spacing w:after="0" w:line="15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Loss provisions on OEM contracts are recognized to the extent that estimated contract costs exceed the estimated consideration from the products contemplated under the contractual arrangement. For new commitments, we generally record loss provisions at the earlier of contract announcement or contract signing except for certain contracts under which losses are recorded upon receipt of the purchase order that obligates us to perform. For existing commitments, anticipated losses on contractual arrangements are recognized in the period in which losses become evident. Products contemplated under contractual arrangements include firm quantities of product sold under contract and, in the large commercial engine and wheels and brakes businesses, future highly probable sales of replacement parts required by regulation that are expected to be sold subsequently for incorporation into the original equipment. In the large commercial engine and wheels and brakes businesses, when the combined original equipment and aftermarket arrangement for each individual sales campaign are profitable, we record original equipment product losses, as applicable, at the time of delivery.</w:t>
      </w:r>
    </w:p>
    <w:p>
      <w:pPr>
        <w:spacing w:after="0" w:line="16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review our cost estimates on significant contracts on a quarterly basis, and for others, no less frequently than annually or when circumstances change and warrant a modification to a previous estimate. We record changes in contract estimates using the cumulative catch-up method.</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The New Revenue Standard </w:t>
      </w:r>
      <w:r>
        <w:rPr>
          <w:rFonts w:ascii="Arial" w:cs="Arial" w:eastAsia="Arial" w:hAnsi="Arial"/>
          <w:sz w:val="18"/>
          <w:szCs w:val="18"/>
          <w:color w:val="auto"/>
        </w:rPr>
        <w:t>changed the revenue recognition practices for a number of revenue streams across our businesses, although the most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impacts are concentrated in our aerospace units. Several businesses, which previously accounted for revenue on a point in time basis are now required to use an over-time model when their contracts meet one or more of the mandatory criteria established in the New Revenue Standard. Revenue is now recognized based on a percentage-of-completion for repair contracts within Otis and UTC Climate, Controls &amp; Security; certain U.S. Government and commercial aerospace equipment contracts; and aerospace aftermarket service work. For these businesses, unrecognized sales related to the satisfied portion of the performance obligations of contracts in process as of the date of adoption of approximately $220 million were recorded through retained earnings. The ongoing effect of recording revenue on a percentage-of-completion basis within these businesses is not expected to be materially different than the previous revenue recognition method.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addition to the foregoing, our aerospace businesses, in certain cases, also changed the timing of manufacturing cost recognition and certain engineering and development costs. In most circumstances, our commercial aerospace businesses identify the performance obligation as the individual OEM unit; revenues and costs to manufacture each unit are recognized upon OEM unit delivery. Under the prior accounting, the unit of accounting was the contract, and early-contract OEM unit costs in excess of the average unit costs expected over the contract were capitalized and amortized over lower-cost units later in the contract. With the adoption of the New Revenue Standard, deferred unit costs in excess of the contract average of $438 million as of January 1, 2018 were eliminated through retained earnings and as such will not be amortized into future earnings.</w:t>
      </w:r>
    </w:p>
    <w:p>
      <w:pPr>
        <w:spacing w:after="0" w:line="17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Under the New Revenue Standard, costs incurred for engineering and development of aerospace products under contracts with customers must be capitalized as contract fulfillment costs, to the extent recoverable from the associated contract margin, and subsequently amortized as the OEM products are delivered to the customer. Under prior accounting, we generally expensed costs of engineering and development of aerospace products. The new standard also requires that customer funding of OEM product engineering and development be deferred in instances where economic benefit does not transfer to the customer and recognized as revenue when the OEM products are delivered. Prior to the New Revenue Standard, any customer funding received for such development efforts was recognized when earned, with the corresponding costs recognized as cost of sales.</w:t>
      </w:r>
    </w:p>
    <w:p>
      <w:pPr>
        <w:spacing w:after="0" w:line="17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With the adoption of the New Revenue Standard, we capitalized engineering and development costs of approximately $700 million as contract fulfillment cost assets as of January 1, 2018. We also established previously recognized customer funding of approximately $850 million as a contract liability through retained earnings as of the adoption date.</w:t>
      </w:r>
    </w:p>
    <w:p>
      <w:pPr>
        <w:spacing w:after="0" w:line="18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expect the New Revenue Standard will have an immaterial impact on our 2018 net income. Adoption of the New Revenue Standard has resulted in Statement of Operations classification changes between Net Sales, Cost of sales, Research &amp; development, and Other income. The New Revenue Standard also resulted in the establishment of Contract asset and Contract liability balance sheet accounts, and in the reclassification of balances to these new accounts from Accounts receivable; Inventories and contracts in progress, net, and Accrued liabilities. In addition to the following disclosures, Note 16 provides incremental disclosures required by the New Revenue Standard, including disaggregation of revenue into categories that depict how the nature, amount, timing and uncertainty of revenue and cash flows are affected by economic factors.</w:t>
      </w:r>
    </w:p>
    <w:p>
      <w:pPr>
        <w:spacing w:after="0" w:line="178" w:lineRule="exact"/>
        <w:rPr>
          <w:sz w:val="20"/>
          <w:szCs w:val="20"/>
          <w:color w:val="auto"/>
        </w:rPr>
      </w:pPr>
    </w:p>
    <w:p>
      <w:pPr>
        <w:ind w:right="520" w:firstLine="405"/>
        <w:spacing w:after="0" w:line="342" w:lineRule="auto"/>
        <w:rPr>
          <w:sz w:val="20"/>
          <w:szCs w:val="20"/>
          <w:color w:val="auto"/>
        </w:rPr>
      </w:pPr>
      <w:r>
        <w:rPr>
          <w:rFonts w:ascii="Arial" w:cs="Arial" w:eastAsia="Arial" w:hAnsi="Arial"/>
          <w:sz w:val="16"/>
          <w:szCs w:val="16"/>
          <w:color w:val="auto"/>
        </w:rPr>
        <w:t>The following schedule quantifies the impact of adopting the New Revenue Standard on the statement of operations for the three months ended March 31, 2018. The effect of the new standard represents the increase (decrease) in the line item based on the adoption of the New Revenue Standard.</w:t>
      </w:r>
    </w:p>
    <w:p>
      <w:pPr>
        <w:spacing w:after="0" w:line="15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2018, under</w:t>
            </w: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Effect of the</w:t>
            </w:r>
          </w:p>
        </w:tc>
        <w:tc>
          <w:tcPr>
            <w:tcW w:w="200" w:type="dxa"/>
            <w:vAlign w:val="bottom"/>
          </w:tcPr>
          <w:p>
            <w:pPr>
              <w:spacing w:after="0"/>
              <w:rPr>
                <w:sz w:val="14"/>
                <w:szCs w:val="14"/>
                <w:color w:val="auto"/>
              </w:rPr>
            </w:pPr>
          </w:p>
        </w:tc>
        <w:tc>
          <w:tcPr>
            <w:tcW w:w="9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2018, as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previous</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New Revenue</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2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standards</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Standard</w:t>
            </w:r>
          </w:p>
        </w:tc>
        <w:tc>
          <w:tcPr>
            <w:tcW w:w="200" w:type="dxa"/>
            <w:vAlign w:val="bottom"/>
          </w:tcPr>
          <w:p>
            <w:pPr>
              <w:spacing w:after="0"/>
              <w:rPr>
                <w:sz w:val="13"/>
                <w:szCs w:val="13"/>
                <w:color w:val="auto"/>
              </w:rPr>
            </w:pPr>
          </w:p>
        </w:tc>
        <w:tc>
          <w:tcPr>
            <w:tcW w:w="900" w:type="dxa"/>
            <w:vAlign w:val="bottom"/>
          </w:tcPr>
          <w:p>
            <w:pPr>
              <w:jc w:val="right"/>
              <w:ind w:right="192"/>
              <w:spacing w:after="0" w:line="158" w:lineRule="exact"/>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Service sales</w:t>
            </w:r>
          </w:p>
        </w:tc>
        <w:tc>
          <w:tcPr>
            <w:tcW w:w="1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15,020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Cost of products sold</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services sold</w:t>
            </w:r>
          </w:p>
        </w:tc>
        <w:tc>
          <w:tcPr>
            <w:tcW w:w="1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4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Non-service pension (benefit)</w:t>
            </w:r>
          </w:p>
        </w:tc>
        <w:tc>
          <w:tcPr>
            <w:tcW w:w="1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1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w w:val="96"/>
              </w:rPr>
              <w:t>Less: Noncontrolling interest in subsidiaries' earnings</w:t>
            </w: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91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New Revenue Standard resulted in an increase to Product and Service sales and Cost of products and services sold primarily due to the change to a percentage-of-completion revenue model for certain U.S Government and commercial aerospace equipment contracts and aerospace aftermarket service work at Pratt &amp; Whitney and UTC Aerospace Systems. The New Revenue Standard also resulted in an increase in Cost of products sold related to the timing of manufacturing cost recognition on early-contract OEM units sold during the quarter, with costs in excess of the contract average unit costs recorded through Cost of products sold.</w:t>
      </w:r>
    </w:p>
    <w:p>
      <w:pPr>
        <w:spacing w:after="0" w:line="18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lower amounts of research and development expense recognized under the New Revenue Standard reflect the capitalization of costs of engineering and development of aerospace products as contract fulfillment costs under contracts with customers.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reflects the effect of the New Revenue Standard on our balance sheet as of March 31, 2018.</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March 31, 2018</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Effect of the</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under previous</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New Revenue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4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3"/>
                <w:szCs w:val="13"/>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standard</w:t>
            </w:r>
          </w:p>
        </w:tc>
        <w:tc>
          <w:tcPr>
            <w:tcW w:w="12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Standard</w:t>
            </w:r>
          </w:p>
        </w:tc>
        <w:tc>
          <w:tcPr>
            <w:tcW w:w="140" w:type="dxa"/>
            <w:vAlign w:val="bottom"/>
          </w:tcPr>
          <w:p>
            <w:pPr>
              <w:spacing w:after="0"/>
              <w:rPr>
                <w:sz w:val="13"/>
                <w:szCs w:val="13"/>
                <w:color w:val="auto"/>
              </w:rPr>
            </w:pPr>
          </w:p>
        </w:tc>
        <w:tc>
          <w:tcPr>
            <w:tcW w:w="940" w:type="dxa"/>
            <w:vAlign w:val="bottom"/>
          </w:tcPr>
          <w:p>
            <w:pPr>
              <w:jc w:val="right"/>
              <w:ind w:right="111"/>
              <w:spacing w:after="0" w:line="158" w:lineRule="exact"/>
              <w:rPr>
                <w:sz w:val="20"/>
                <w:szCs w:val="20"/>
                <w:color w:val="auto"/>
              </w:rPr>
            </w:pPr>
            <w:r>
              <w:rPr>
                <w:rFonts w:ascii="Arial" w:cs="Arial" w:eastAsia="Arial" w:hAnsi="Arial"/>
                <w:sz w:val="14"/>
                <w:szCs w:val="14"/>
                <w:b w:val="1"/>
                <w:bCs w:val="1"/>
                <w:color w:val="auto"/>
                <w:w w:val="94"/>
              </w:rPr>
              <w:t>as reported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Contract assets, current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 current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Future income tax benefits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ind w:left="140"/>
              <w:spacing w:after="0"/>
              <w:rPr>
                <w:sz w:val="20"/>
                <w:szCs w:val="20"/>
                <w:color w:val="auto"/>
              </w:rPr>
            </w:pPr>
            <w:r>
              <w:rPr>
                <w:rFonts w:ascii="Arial" w:cs="Arial" w:eastAsia="Arial" w:hAnsi="Arial"/>
                <w:sz w:val="18"/>
                <w:szCs w:val="18"/>
                <w:color w:val="auto"/>
              </w:rPr>
              <w:t>Contract liabilities, current</w:t>
            </w:r>
          </w:p>
        </w:tc>
        <w:tc>
          <w:tcPr>
            <w:tcW w:w="1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long 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55,533</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The decrease in Retained earnings of $472 million in the table above reflects $480 million of adjustments to the balance sheet as of January 1, 2018, resulting from the adoption of the New Revenue Standard, partially offset by higher reported net income under the new revenue standard. The declines in Accounts receivable, net, Inventories, Other assets, current, and Intangible assets, net, reflect reclassifications to contract assets, and specifically for Inventories, earlier recognition of costs of products sold for contracts requiring an over-time method of revenue recognition. The increase in Other assets reflects the establishment of non-current contract assets and contract fulfillment cost assets.</w:t>
      </w:r>
    </w:p>
    <w:p>
      <w:pPr>
        <w:spacing w:after="0" w:line="173"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decline in accrued liabilities is primarily due to the reclassification of payments from customers in advance of work performed as contract liabilities. The Other long term liabilities increase primarily reflects the establishment of non-current contract liabilities for certain customer funding of OEM product engineering and development, which will be recognized as revenue when the OEM products are delivered to the customer.</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Contract Assets and Liabilities. </w:t>
      </w:r>
      <w:r>
        <w:rPr>
          <w:rFonts w:ascii="Arial" w:cs="Arial" w:eastAsia="Arial" w:hAnsi="Arial"/>
          <w:sz w:val="17"/>
          <w:szCs w:val="17"/>
          <w:color w:val="auto"/>
        </w:rPr>
        <w:t>Contract assets reflect revenue recognized and performance obligations satisfied in advance of customer billing.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relate to payments received in advance of the satisfaction of performance under the contract. We receive payments from customers based on the terms established in our contracts. Total contract assets and contract liabilities as of March 31, 2018 are as follows:</w:t>
      </w:r>
    </w:p>
    <w:p>
      <w:pPr>
        <w:spacing w:after="0" w:line="9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2018</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 assets, current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r>
      <w:tr>
        <w:trPr>
          <w:trHeight w:val="243"/>
        </w:trPr>
        <w:tc>
          <w:tcPr>
            <w:tcW w:w="2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Contract assets, noncurrent (included within Other assets)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7"/>
        </w:trPr>
        <w:tc>
          <w:tcPr>
            <w:tcW w:w="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contract assets</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r>
      <w:tr>
        <w:trPr>
          <w:trHeight w:val="237"/>
        </w:trPr>
        <w:tc>
          <w:tcPr>
            <w:tcW w:w="2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Contract liabilities, current</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(5,727)</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 liabilities, noncurrent (included within 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r>
      <w:tr>
        <w:trPr>
          <w:trHeight w:val="237"/>
        </w:trPr>
        <w:tc>
          <w:tcPr>
            <w:tcW w:w="20" w:type="dxa"/>
            <w:vAlign w:val="bottom"/>
          </w:tcPr>
          <w:p>
            <w:pPr>
              <w:spacing w:after="0"/>
              <w:rPr>
                <w:sz w:val="20"/>
                <w:szCs w:val="20"/>
                <w:color w:val="auto"/>
              </w:rPr>
            </w:pPr>
          </w:p>
        </w:tc>
        <w:tc>
          <w:tcPr>
            <w:tcW w:w="8100" w:type="dxa"/>
            <w:vAlign w:val="bottom"/>
            <w:gridSpan w:val="2"/>
          </w:tcPr>
          <w:p>
            <w:pPr>
              <w:ind w:left="180"/>
              <w:spacing w:after="0"/>
              <w:rPr>
                <w:sz w:val="20"/>
                <w:szCs w:val="20"/>
                <w:color w:val="auto"/>
              </w:rPr>
            </w:pPr>
            <w:r>
              <w:rPr>
                <w:rFonts w:ascii="Arial" w:cs="Arial" w:eastAsia="Arial" w:hAnsi="Arial"/>
                <w:sz w:val="18"/>
                <w:szCs w:val="18"/>
                <w:color w:val="auto"/>
              </w:rPr>
              <w:t>Total contract liabilities</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(10,608)</w:t>
            </w:r>
          </w:p>
        </w:tc>
      </w:tr>
      <w:tr>
        <w:trPr>
          <w:trHeight w:val="27"/>
        </w:trPr>
        <w:tc>
          <w:tcPr>
            <w:tcW w:w="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contract liabilities</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w:t>
            </w: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Under the New Revenue Standard, during the quarter ended March 31, 2018, net contract liabilities increased to $6,531 million. This reflects the establishment of $6,365 million of net contract liabilities upon the adoption, and $7,031 million of advance payments from customers and reclassifications to receivables upon billing during the period. These increases were partially offset by the liquidation of beginning of period contract liabilities of $1,207 million as a result of revenue recognition. These increases were also offset by $5,676 million of revenue recognition within the period, and other less significant changes.</w:t>
      </w:r>
    </w:p>
    <w:p>
      <w:pPr>
        <w:spacing w:after="0" w:line="184"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 xml:space="preserve">Remaining performance obligations </w:t>
      </w:r>
      <w:r>
        <w:rPr>
          <w:rFonts w:ascii="Arial" w:cs="Arial" w:eastAsia="Arial" w:hAnsi="Arial"/>
          <w:sz w:val="16"/>
          <w:szCs w:val="16"/>
          <w:color w:val="auto"/>
        </w:rPr>
        <w:t>("RPO") are the aggregate amount of total contract transaction price that is unsatisfied or partially unsatisfied.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2018, our total RPO are $99.8 billion. Of this total, we expect approximately 40% will be recognized as sales over the following 24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98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793.5</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r>
      <w:tr>
        <w:trPr>
          <w:trHeight w:val="297"/>
        </w:trPr>
        <w:tc>
          <w:tcPr>
            <w:tcW w:w="40" w:type="dxa"/>
            <w:vAlign w:val="bottom"/>
            <w:tcBorders>
              <w:bottom w:val="single" w:sz="8" w:color="CCEEFF"/>
            </w:tcBorders>
          </w:tcPr>
          <w:p>
            <w:pPr>
              <w:spacing w:after="0"/>
              <w:rPr>
                <w:sz w:val="24"/>
                <w:szCs w:val="24"/>
                <w:color w:val="auto"/>
              </w:rPr>
            </w:pPr>
          </w:p>
        </w:tc>
        <w:tc>
          <w:tcPr>
            <w:tcW w:w="8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802.3</w:t>
            </w:r>
          </w:p>
        </w:tc>
      </w:tr>
      <w:tr>
        <w:trPr>
          <w:trHeight w:val="23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1.75</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8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r>
      <w:tr>
        <w:trPr>
          <w:trHeight w:val="27"/>
        </w:trPr>
        <w:tc>
          <w:tcPr>
            <w:tcW w:w="4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For the quarters ended March 31, 2018 and 2017, the number of stock awards excluded from the computation was approximately 4.3 million and 12.2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43"/>
        </w:trPr>
        <w:tc>
          <w:tcPr>
            <w:tcW w:w="530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43"/>
        </w:trPr>
        <w:tc>
          <w:tcPr>
            <w:tcW w:w="530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19,454</w:t>
            </w:r>
          </w:p>
        </w:tc>
        <w:tc>
          <w:tcPr>
            <w:tcW w:w="0" w:type="dxa"/>
            <w:vAlign w:val="bottom"/>
          </w:tcPr>
          <w:p>
            <w:pPr>
              <w:spacing w:after="0"/>
              <w:rPr>
                <w:sz w:val="1"/>
                <w:szCs w:val="1"/>
                <w:color w:val="auto"/>
              </w:rPr>
            </w:pPr>
          </w:p>
        </w:tc>
      </w:tr>
      <w:tr>
        <w:trPr>
          <w:trHeight w:val="243"/>
        </w:trPr>
        <w:tc>
          <w:tcPr>
            <w:tcW w:w="530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4"/>
              </w:rPr>
              <w:t>Progress payments, secured by lien, on U.S. Government contracts</w:t>
            </w: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also include capitalized contract development costs related to certain aerospace programs at UTC Aerospace Systems. As of</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December 31, 2017, these capitalized costs were $127 million, which will be liquidated as production units are delivered to customers. Prior to the adoption of the New Revenue Standard, within our commercial aerospace business, inventory costs attributable to new engine offerings were recognized based on the average cost per unit expected over the life of each contract using the units-of-delivery method of percentage of completion accounting. Under this method, costs of initial engine deliveries in excess of the projected contract per unit average cost were capitalized and these capitalized amounts were subsequently expensed as additional engines are delivered for engines with costs below the projected contract per unit average cost over the life of the contract. As of December 31, 2017, inventory included $438 million of such capitalized amounts. Upon adoption of the New Revenue Standard, these amounts are no longer included in inventory.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92</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At March 31, 2018, we had revolving credit agreements with various banks permitting aggregate borrowings of up to $4.35 billion, pursuant to a $2.20 billion revolving credit agreement and a $2.15 billion multicurrency revolving credit agreement, both of which expire in August 2021. As of March 31, 2018, there were no borrowings under either of these agreements. The undrawn portions of these revolving credit agreements are also available to serve as backup facilities for the issuance of commercial paper. As of March 31, 2018, our maximum commercial paper borrowing limit was $4.35 billion. Commercial paper borrowings at March 31, 2018 include approximately €750 million ($930 million) of euro-denominated commercial paper. We use our commercial paper borrowings for general corporate purposes, including the funding of potential acquisitions, discretionary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7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On February 1, 2018, we repaid at maturity the $99 million 6.80% notes due in 2018 and on February 22, 2018, we repaid at maturity the €750 million EURIBOR plus 0.80% floating rate notes due in 2018.</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connection with the merger agreement with Rockwell Collins announced on September 4, 2017, we have entered into a $6.5 billion 364-day unsecured bridge loan credit agreement that would be funded only to the extent certain anticipated debt issuances are not completed prior to the completion of the merger. See Note 1 for additional discussion.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6.800%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EURIBOR plus 0.800% floating rate notes due 2018 (€750 million principal value)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EURIBOR plus 0.15% floating rate notes due 2019 (€750 million principal value)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593</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27,093</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r>
      <w:tr>
        <w:trPr>
          <w:trHeight w:val="25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25,153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340" w:right="40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three-month EURIBOR rate as of March 31, 2018 was approximately -0.328%. The notes may be redeemed at our option in whole, but not in part, at any time in the event of certain developments affecting U.S. taxation.</w:t>
      </w:r>
    </w:p>
    <w:p>
      <w:pPr>
        <w:spacing w:after="0" w:line="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three-month LIBOR rate as of March 31, 2018 was approximately 2.312%.</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average maturity of our long-term debt at March 31, 2018 is approximately 12 years. The average interest expense rate on our total borrowings for the quarters ended March 31, 2018 and 2017 were as follows:</w:t>
      </w:r>
    </w:p>
    <w:p>
      <w:pPr>
        <w:spacing w:after="0" w:line="216"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43"/>
        </w:trPr>
        <w:tc>
          <w:tcPr>
            <w:tcW w:w="9380" w:type="dxa"/>
            <w:vAlign w:val="bottom"/>
            <w:gridSpan w:val="2"/>
            <w:shd w:val="clear" w:color="auto" w:fill="CCEEFF"/>
          </w:tcPr>
          <w:p>
            <w:pPr>
              <w:jc w:val="right"/>
              <w:ind w:right="7168"/>
              <w:spacing w:after="0"/>
              <w:rPr>
                <w:sz w:val="20"/>
                <w:szCs w:val="20"/>
                <w:color w:val="auto"/>
              </w:rPr>
            </w:pPr>
            <w:r>
              <w:rPr>
                <w:rFonts w:ascii="Arial" w:cs="Arial" w:eastAsia="Arial" w:hAnsi="Arial"/>
                <w:sz w:val="18"/>
                <w:szCs w:val="18"/>
                <w:color w:val="auto"/>
                <w:w w:val="88"/>
              </w:rPr>
              <w:t>Average interest expense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issuances,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420" w:firstLine="405"/>
        <w:spacing w:after="0" w:line="297" w:lineRule="auto"/>
        <w:rPr>
          <w:sz w:val="20"/>
          <w:szCs w:val="20"/>
          <w:color w:val="auto"/>
        </w:rPr>
      </w:pPr>
      <w:r>
        <w:rPr>
          <w:rFonts w:ascii="Arial" w:cs="Arial" w:eastAsia="Arial" w:hAnsi="Arial"/>
          <w:sz w:val="16"/>
          <w:szCs w:val="16"/>
          <w:color w:val="auto"/>
        </w:rPr>
        <w:t>On December 22, 2017 Public Law 115-97 “An Act to Provide for Reconciliation Pursuant to Titles II and V of the Concurrent Resolution on the Budget for Fiscal Year 2018” was enacted. This law is commonly referred to as the Tax Cuts and Jobs Act of 2017 (TCJA). In accordance with Staff Accounting Bulletin 118 (SAB 118) issued on December 22, 2017, the U.S. income tax amounts recorded attributable to the TCJA’s deemed repatriation provision, the revaluation of U.S. deferred taxes and the tax consequences relating to states with current conformity to the Internal Revenue Code are provisional amounts. Due to the enactment date and tax complexities of the TCJA, the Company has not completed its accounting related to these items.</w:t>
      </w:r>
    </w:p>
    <w:p>
      <w:pPr>
        <w:spacing w:after="0" w:line="15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as provided for by SAB 118 this evaluation has not yet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will continue to accumulate and refine the relevant data and computational elements needed to finalize its accounting for the effects of the TCJA by December 22, 2018.</w:t>
      </w:r>
    </w:p>
    <w:p>
      <w:pPr>
        <w:spacing w:after="0" w:line="6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2006.</w:t>
      </w:r>
    </w:p>
    <w:p>
      <w:pPr>
        <w:spacing w:after="0" w:line="18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$90 million to $500 million of unrecognized tax benefits may occur within the next 12 months as a result of additional worldwide uncertain tax positions, the closure of tax statutes, or the revaluation of current uncertain tax positions arising from the issuance of legislation, regulatory or other guidance or developments in examinations, in appeals, or in the courts. The range of potential change includes provisional amounts related to the TCJA based on currently available information. See Note 15, Contingent Liabilities, for discussion regarding uncertain tax positions, included in the above range, related to pending litigation with respect to certain deductions claimed in Germany.</w:t>
      </w:r>
    </w:p>
    <w:p>
      <w:pPr>
        <w:spacing w:after="0" w:line="16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During the quarter, the Examination Division of the Internal Revenue Service commenced audit field work for UTC’s 2016 tax year, combining it with the previously commenced audit of tax years 2014 and 2015. The combined audit of tax years 2014, 2015 and 2016 is expected to continue beyond the next 12 months.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w:t>
      </w:r>
    </w:p>
    <w:p>
      <w:pPr>
        <w:spacing w:after="0" w:line="166"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This ASU requires an employer to report the service cost component of net periodic pension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line item or items as other compensation costs arising from services rendered by the pertinent employees during the period, with other cost components presented separately from the service cost component and outside of income from operations. This ASU also allows only the service cost component of net periodic pension benefit cost to be eligible for capitalization when applicable. This ASU was effective for years beginning after December 15, 2017. The Company adopted this standard on January 1, 2018 applying the presentation requirements retrospectively. We elected to apply the practical expedient, which allows us to reclassify amounts disclosed previously in the employee benefit plans note as the basis for applying retrospective presentation for comparative periods as it is impracticable to determine the disaggregation of the cost components for amounts capitalized and amortized in those periods. Provisions related to presentation of the service cost component eligibility for capitalization were applied prospectively.</w:t>
      </w:r>
    </w:p>
    <w:p>
      <w:pPr>
        <w:spacing w:after="0" w:line="16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effect of the retrospective presentation change related to the net periodic benefit cost of our defined benefit pension and postretirement plans on our condensed consolidated statement of operations was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left="533"/>
              <w:spacing w:after="0"/>
              <w:rPr>
                <w:sz w:val="20"/>
                <w:szCs w:val="20"/>
                <w:color w:val="auto"/>
              </w:rPr>
            </w:pPr>
            <w:r>
              <w:rPr>
                <w:rFonts w:ascii="Arial" w:cs="Arial" w:eastAsia="Arial" w:hAnsi="Arial"/>
                <w:sz w:val="14"/>
                <w:szCs w:val="14"/>
                <w:b w:val="1"/>
                <w:bCs w:val="1"/>
                <w:color w:val="auto"/>
                <w:w w:val="95"/>
              </w:rPr>
              <w:t>Quarter Ended March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500" w:type="dxa"/>
            <w:vAlign w:val="bottom"/>
            <w:gridSpan w:val="2"/>
            <w:vMerge w:val="restart"/>
          </w:tcPr>
          <w:p>
            <w:pPr>
              <w:jc w:val="right"/>
              <w:ind w:right="93"/>
              <w:spacing w:after="0"/>
              <w:rPr>
                <w:sz w:val="20"/>
                <w:szCs w:val="20"/>
                <w:color w:val="auto"/>
              </w:rPr>
            </w:pPr>
            <w:r>
              <w:rPr>
                <w:rFonts w:ascii="Arial" w:cs="Arial" w:eastAsia="Arial" w:hAnsi="Arial"/>
                <w:sz w:val="14"/>
                <w:szCs w:val="14"/>
                <w:b w:val="1"/>
                <w:bCs w:val="1"/>
                <w:color w:val="auto"/>
                <w:w w:val="95"/>
              </w:rPr>
              <w:t>Previously Reported</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Effect of Change</w:t>
            </w:r>
          </w:p>
        </w:tc>
        <w:tc>
          <w:tcPr>
            <w:tcW w:w="260" w:type="dxa"/>
            <w:vAlign w:val="bottom"/>
          </w:tcPr>
          <w:p>
            <w:pPr>
              <w:spacing w:after="0"/>
              <w:rPr>
                <w:sz w:val="13"/>
                <w:szCs w:val="13"/>
                <w:color w:val="auto"/>
              </w:rPr>
            </w:pPr>
          </w:p>
        </w:tc>
        <w:tc>
          <w:tcPr>
            <w:tcW w:w="11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97"/>
              </w:rPr>
              <w:t>As Revised</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Higher/(Lower)</w:t>
            </w:r>
          </w:p>
        </w:tc>
        <w:tc>
          <w:tcPr>
            <w:tcW w:w="2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 sold</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7,263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Cost of services sold</w:t>
            </w:r>
          </w:p>
        </w:tc>
        <w:tc>
          <w:tcPr>
            <w:tcW w:w="50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2,814</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577</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588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Non-service pension (benefit)</w:t>
            </w:r>
          </w:p>
        </w:tc>
        <w:tc>
          <w:tcPr>
            <w:tcW w:w="500" w:type="dxa"/>
            <w:vAlign w:val="bottom"/>
          </w:tcPr>
          <w:p>
            <w:pPr>
              <w:spacing w:after="0"/>
              <w:rPr>
                <w:sz w:val="21"/>
                <w:szCs w:val="21"/>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040" w:type="dxa"/>
            <w:vAlign w:val="bottom"/>
            <w:gridSpan w:val="2"/>
          </w:tcPr>
          <w:p>
            <w:pPr>
              <w:ind w:left="400"/>
              <w:spacing w:after="0"/>
              <w:rPr>
                <w:sz w:val="20"/>
                <w:szCs w:val="20"/>
                <w:color w:val="auto"/>
              </w:rPr>
            </w:pPr>
            <w:r>
              <w:rPr>
                <w:rFonts w:ascii="Arial" w:cs="Arial" w:eastAsia="Arial" w:hAnsi="Arial"/>
                <w:sz w:val="18"/>
                <w:szCs w:val="18"/>
                <w:color w:val="auto"/>
              </w:rPr>
              <w:t>Contributions to our plans were as follows: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70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There were no contributions to our domestic defined benefit pension plans in the quarters ended March 31, 2018 and 2017. The following table illustrates the components of net periodic benefit cost for our defined pension and other postretirement benefit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Other Postretirement Benefits</w:t>
            </w:r>
          </w:p>
        </w:tc>
      </w:t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Quarter Ended March 31,</w:t>
            </w:r>
          </w:p>
        </w:tc>
        <w:tc>
          <w:tcPr>
            <w:tcW w:w="320" w:type="dxa"/>
            <w:vAlign w:val="bottom"/>
          </w:tcPr>
          <w:p>
            <w:pPr>
              <w:spacing w:after="0"/>
              <w:rPr>
                <w:sz w:val="16"/>
                <w:szCs w:val="16"/>
                <w:color w:val="auto"/>
              </w:rPr>
            </w:pPr>
          </w:p>
        </w:tc>
        <w:tc>
          <w:tcPr>
            <w:tcW w:w="2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Net settlement and curtailment (gain) loss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03"/>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16</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As approved in 2016, effective January 1, 2017, a voluntary lump-sum option is available for the frozen final average earnings benefits of certain U.S. salaried employees upon termination of employment after 2016. This option provides participants with the choice of electing to receive a lump-sum payment in lieu of receiving a future monthly pension benefit. This plan change reduced the projected benefit obligation by $170 million as of December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quarter ended March 31, 2018, we recorded net pre-tax restructuring costs totaling $69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Restructuring charges incurred during the quarter ended March 31, 2018 primarily relate to actions initiated during 2018 and 2017,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2018 Actions. </w:t>
      </w:r>
      <w:r>
        <w:rPr>
          <w:rFonts w:ascii="Arial" w:cs="Arial" w:eastAsia="Arial" w:hAnsi="Arial"/>
          <w:sz w:val="18"/>
          <w:szCs w:val="18"/>
          <w:color w:val="auto"/>
        </w:rPr>
        <w:t>During the quarter ended March 31, 2018, we recorded net pre-tax restructuring costs of $12 million, comprised of $4 million in cost of sales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$8 million in selling, general and administrative expenses. The 2018 actions relate to ongoing cost reduction efforts, including workforce reductions and the consolidation of field operations.</w:t>
      </w:r>
    </w:p>
    <w:p>
      <w:pPr>
        <w:spacing w:after="0" w:line="180"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2018 and 2019. No specific plans for other significant actions have been finalized at this time. The following table summarizes the accrual balance and utilization for the 2018 restructuring actions for the quarter ended March 31,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Facility Exit, Lease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6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3"/>
          </w:tcPr>
          <w:p>
            <w:pPr>
              <w:jc w:val="center"/>
              <w:ind w:right="56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2018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104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Costs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3"/>
                <w:szCs w:val="13"/>
                <w:color w:val="auto"/>
              </w:rPr>
            </w:pPr>
          </w:p>
        </w:tc>
        <w:tc>
          <w:tcPr>
            <w:tcW w:w="12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4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2017 Actions. </w:t>
      </w:r>
      <w:r>
        <w:rPr>
          <w:rFonts w:ascii="Arial" w:cs="Arial" w:eastAsia="Arial" w:hAnsi="Arial"/>
          <w:sz w:val="18"/>
          <w:szCs w:val="18"/>
          <w:color w:val="auto"/>
        </w:rPr>
        <w:t>During the quarter ended March 31, 2018, we recorded net pre-tax restructuring costs totaling $51 million for restructuring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including $30 million in cost of sales and $21 million in selling, general and administrative expenses. The 2017 actions relate to ongoing cost reduction efforts, including workforce reductions,</w:t>
      </w:r>
    </w:p>
    <w:p>
      <w:pPr>
        <w:sectPr>
          <w:pgSz w:w="11900" w:h="16838" w:orient="portrait"/>
          <w:cols w:equalWidth="0" w:num="1">
            <w:col w:w="11420"/>
          </w:cols>
          <w:pgMar w:left="240" w:top="122"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consolidation of field operations, and costs to exit legacy programs. The following table summarizes the accrual balances and utilization for the 2017 restructuring actions for the quarter ended March 31,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December 31, 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March 31,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2017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9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3"/>
                <w:szCs w:val="13"/>
                <w:color w:val="auto"/>
              </w:rPr>
            </w:pPr>
          </w:p>
        </w:tc>
        <w:tc>
          <w:tcPr>
            <w:tcW w:w="1200" w:type="dxa"/>
            <w:vAlign w:val="bottom"/>
          </w:tcPr>
          <w:p>
            <w:pPr>
              <w:jc w:val="right"/>
              <w:ind w:right="113"/>
              <w:spacing w:after="0" w:line="158" w:lineRule="exact"/>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330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2016 and Prior Actions. </w:t>
      </w:r>
      <w:r>
        <w:rPr>
          <w:rFonts w:ascii="Arial" w:cs="Arial" w:eastAsia="Arial" w:hAnsi="Arial"/>
          <w:sz w:val="16"/>
          <w:szCs w:val="16"/>
          <w:color w:val="auto"/>
        </w:rPr>
        <w:t>During the quarter ended March 31, 2018, we recorded net pre-tax restructuring costs totaling $6 million for restructuring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2016 and prior. As of March 31, 2018, we have approximately $108 million of accrual balances remaining related to 2016 and prior 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$20.7 billion and $19.1 billion at March 31, 2018 and December 31, 2017,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Condensed Consolidated Balance Sheets for derivative instruments as of March 31, 2018 and December 31,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60" w:type="dxa"/>
            <w:vAlign w:val="bottom"/>
          </w:tcPr>
          <w:p>
            <w:pPr>
              <w:ind w:left="70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500" w:type="dxa"/>
            <w:vAlign w:val="bottom"/>
            <w:gridSpan w:val="3"/>
            <w:vMerge w:val="continue"/>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asset derivatives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Total liability derivatives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Foreign exchange contracts</w:t>
            </w:r>
          </w:p>
        </w:tc>
        <w:tc>
          <w:tcPr>
            <w:tcW w:w="2860" w:type="dxa"/>
            <w:vAlign w:val="bottom"/>
          </w:tcPr>
          <w:p>
            <w:pPr>
              <w:ind w:left="20"/>
              <w:spacing w:after="0"/>
              <w:rPr>
                <w:sz w:val="20"/>
                <w:szCs w:val="20"/>
                <w:color w:val="auto"/>
              </w:rPr>
            </w:pPr>
            <w:r>
              <w:rPr>
                <w:rFonts w:ascii="Arial" w:cs="Arial" w:eastAsia="Arial" w:hAnsi="Arial"/>
                <w:sz w:val="18"/>
                <w:szCs w:val="18"/>
                <w:color w:val="auto"/>
              </w:rPr>
              <w:t>Asset Derivatives: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Liability Derivatives: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liability derivatives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effect of cash flow hedging relationships on accumulated other comprehensive income for the quarters ended March 31, 2018 and 2017 are presented in the table below. The amounts of gain or (loss) are attributable to foreign exchange contract activity and are recorded as a component of Product sales when reclassified from accumulated other comprehensive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(Gain) loss reclassified from Accumulated other comprehensive loss into Product sales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w:t>
            </w:r>
          </w:p>
        </w:tc>
      </w:tr>
    </w:tbl>
    <w:p>
      <w:pPr>
        <w:spacing w:after="0" w:line="12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table above reflects the effect of cash flow hedging relationships on the Condensed Consolidated Statements of Operations for the quarters ended March 31, 2018 and 2017. The Company utilizes the critical terms match method in assessing derivatives for hedge effectiveness. Accordingly, the hedged items and derivatives designated as hedging instruments are highly effective.</w:t>
      </w:r>
    </w:p>
    <w:p>
      <w:pPr>
        <w:spacing w:after="0" w:line="7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As discussed in Note 5, we have approximately €2.95 billion of euro-denominated long-term debt and €750 million of euro-denominated commercial paper borrowings outstanding,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March 31, 2018, the net investment hedge is deemed to be effective.</w:t>
      </w:r>
    </w:p>
    <w:p>
      <w:pPr>
        <w:spacing w:after="0" w:line="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Assuming current market conditions continue, a $36 million pre-tax gain is expected to be reclassified from Accumulated other comprehensive loss into Product sales to reflect the fixed prices obtained from foreign exchange hedging within the next 12 months. At March 31, 2018, all derivative contracts accounted for as cash flow hedges will mature by April 2022.</w:t>
      </w:r>
    </w:p>
    <w:p>
      <w:pPr>
        <w:spacing w:after="0" w:line="7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effect of derivatives not designated as hedging instruments that is included below within Other income, net, on the Condensed Consolidated Statement of Operations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38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5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r>
      <w:tr>
        <w:trPr>
          <w:trHeight w:val="56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760" w:type="dxa"/>
            <w:vAlign w:val="bottom"/>
          </w:tcPr>
          <w:p>
            <w:pPr>
              <w:jc w:val="right"/>
              <w:ind w:right="269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March 31, 2018 and December 31, 2017: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2018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2017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Valuation Techniques. </w:t>
      </w:r>
      <w:r>
        <w:rPr>
          <w:rFonts w:ascii="Arial" w:cs="Arial" w:eastAsia="Arial" w:hAnsi="Arial"/>
          <w:sz w:val="17"/>
          <w:szCs w:val="17"/>
          <w:color w:val="auto"/>
        </w:rPr>
        <w:t>Our available-for-sale securities include equity investments that are traded in active markets, either domestically or internationally,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 As of March 31, 2018, there were no significant transfers in or out of Level 1 and Level 2.</w:t>
      </w:r>
    </w:p>
    <w:p>
      <w:pPr>
        <w:spacing w:after="0" w:line="16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As of March 31, 2018,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March 31, 2018 and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3"/>
                <w:szCs w:val="13"/>
                <w:color w:val="auto"/>
              </w:rPr>
            </w:pPr>
          </w:p>
        </w:tc>
        <w:tc>
          <w:tcPr>
            <w:tcW w:w="100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March 31, 2018 and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4"/>
              </w:rPr>
              <w:t>March 31, 2018</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9"/>
                <w:szCs w:val="19"/>
                <w:color w:val="auto"/>
              </w:rPr>
            </w:pPr>
          </w:p>
        </w:tc>
        <w:tc>
          <w:tcPr>
            <w:tcW w:w="162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56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9"/>
                <w:szCs w:val="19"/>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9"/>
                <w:szCs w:val="19"/>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(28,970)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had commercial aerospace financing and other contractual commitments totaling approximately $15.1 billion and $15.3 billion as of March 31, 2018 and December 31, 2017, respectively, related to commercial aircraft and certain contractual rights to provide product on new aircraft platforms. Risks associated with changes in interest rates on these commitments are mitigated because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notes receivable, and leases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Prior to the adoption of the New Revenue Standard, long-term trade accounts receivable, including unbilled receivables related to long-term aftermarket contracts, were principally amounts arising from the sale of goods and the delivery of services with a contract maturity date or realization period of greater than one year, and were recognized as "Other assets" in our Condensed Consolidated Balance Sheet. With the adoption of the New Revenue Standard, these unbilled receivables are classified as non-current contract assets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March 31, 2018 and December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424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540"/>
        <w:spacing w:after="0" w:line="257" w:lineRule="auto"/>
        <w:rPr>
          <w:sz w:val="20"/>
          <w:szCs w:val="20"/>
          <w:color w:val="auto"/>
        </w:rPr>
      </w:pPr>
      <w:r>
        <w:rPr>
          <w:rFonts w:ascii="Arial" w:cs="Arial" w:eastAsia="Arial" w:hAnsi="Arial"/>
          <w:sz w:val="18"/>
          <w:szCs w:val="18"/>
          <w:color w:val="auto"/>
        </w:rPr>
        <w:t>Customer credit ratings range from customers with an extremely strong capacity to meet financial obligations to customers whose uncollateralized receivables are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$140 million and $170 million of our total long-term receivables were considered to bear high credit risk as of March 31, 2018 and December 31, 2017, respectively.</w:t>
      </w:r>
    </w:p>
    <w:p>
      <w:pPr>
        <w:spacing w:after="0" w:line="188"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reflected in the table above, which include reserves of $17 million as of March 31, 2018 and December 31, 2017, are individually evaluated for impairment. At March 31, 2018 and December 31, 2017, we did not have any significant balances that are considered to be delinquent, on non-accrual status, past due 90 days or more, or are considered to be unrecoverable.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ended March 31, 2018 and 2017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Quarter Ended March 31,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Capital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w w:val="96"/>
              </w:rPr>
              <w:t>Purchase of subsidiary shares from noncontrolling interest,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Disposition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New Revenue Standard adoption impact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32,492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27,594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29,272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income, net of tax for the quarters ended March 31, 2018 and 2017 is provided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ASU 2016-01 adoption impact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This ASU modifies how entities measure equity investments and present changes in the fair value of financial liabilities. Upon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do not result in consolidation and are not accounted for under the equity method generally must be carried at fair value, with changes in fair value recognized in net income.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9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(see Note 7 for additional details).</w:t>
      </w:r>
    </w:p>
    <w:p>
      <w:pPr>
        <w:spacing w:after="0" w:line="1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Amounts reclassified that relate to unrealized gains (losses) on available-for-sale securities, pre-tax includes approximately $500 million of previously unrealized gains reclassified to other income as a result of sales of significant investments in available-for-sale securities in the quarter ended March 31, 2017, including UTC Climate, Controls &amp; Security's sale of investments in Watsco, Inc.</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229" w:lineRule="exact"/>
        <w:rPr>
          <w:sz w:val="20"/>
          <w:szCs w:val="20"/>
          <w:color w:val="auto"/>
        </w:rPr>
      </w:pPr>
    </w:p>
    <w:p>
      <w:pPr>
        <w:ind w:right="20" w:firstLine="540"/>
        <w:spacing w:after="0" w:line="253" w:lineRule="auto"/>
        <w:rPr>
          <w:sz w:val="20"/>
          <w:szCs w:val="20"/>
          <w:color w:val="auto"/>
        </w:rPr>
      </w:pPr>
      <w:r>
        <w:rPr>
          <w:rFonts w:ascii="Arial" w:cs="Arial" w:eastAsia="Arial" w:hAnsi="Arial"/>
          <w:sz w:val="18"/>
          <w:szCs w:val="18"/>
          <w:color w:val="auto"/>
        </w:rPr>
        <w:t>Pratt &amp; Whitney holds a 61% interest in the IAE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7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4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6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7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45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520" w:type="dxa"/>
            <w:vAlign w:val="bottom"/>
            <w:vMerge w:val="restart"/>
          </w:tcPr>
          <w:p>
            <w:pPr>
              <w:jc w:val="right"/>
              <w:ind w:right="223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2017. The changes in the carrying amount of service and product warranties and product performance guarantees for the quarter ended March 31, 2018 and 2017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1,199</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March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2017 Annual Report, incorporated by reference in our 2017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to the Consolidated Financial Statements in our 2017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2017 Annual Report.</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anti-bribery,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also void any contracts found to be tainted by fraud.</w:t>
      </w:r>
    </w:p>
    <w:p>
      <w:pPr>
        <w:spacing w:after="0" w:line="178"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 involved substantial amounts. We have made voluntary refunds in those cases we believe appropriate, have settled some allegations and continue to litigate or challenge certain matters.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As previously disclosed, in December 2013, a Divisional Administrative Contracting Officer of the United States Defense Contract Management Agency asserted a claim against Pratt &amp; Whitney to recover overpayments of approximately $177 million plus interest (approximately $74.9 million through March 31, 2018). The claim is based on Pratt &amp; Whitney's alleged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ind w:right="260"/>
        <w:spacing w:after="0" w:line="312" w:lineRule="auto"/>
        <w:rPr>
          <w:sz w:val="20"/>
          <w:szCs w:val="20"/>
          <w:color w:val="auto"/>
        </w:rPr>
      </w:pPr>
      <w:r>
        <w:rPr>
          <w:rFonts w:ascii="Arial" w:cs="Arial" w:eastAsia="Arial" w:hAnsi="Arial"/>
          <w:sz w:val="16"/>
          <w:szCs w:val="16"/>
          <w:color w:val="auto"/>
        </w:rPr>
        <w:t>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previously disclosed, UTC has been involved in administrative review proceedings with the German Tax Office, which concern approximately €215 million (approximately $267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$147 million). On August 3, 2012, we filed suit in the local German Tax Court (Berlin-Brandenburg). In March 2016, the local German Tax Court dismissed our suit, and we have appealed this decision to the German Federal Tax Court (FTC). In 2015, UTC made tax and interest payments to German tax authorities of €275 million (approximately $300 million) in order to avoid additional interest accruals pending final resolution of this matter. In the meantime, we continue vigorously to litigate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78" w:lineRule="exact"/>
        <w:rPr>
          <w:sz w:val="20"/>
          <w:szCs w:val="20"/>
          <w:color w:val="auto"/>
        </w:rPr>
      </w:pPr>
    </w:p>
    <w:p>
      <w:pPr>
        <w:jc w:val="both"/>
        <w:ind w:right="40" w:firstLine="567"/>
        <w:spacing w:after="0" w:line="288" w:lineRule="auto"/>
        <w:rPr>
          <w:sz w:val="20"/>
          <w:szCs w:val="20"/>
          <w:color w:val="auto"/>
        </w:rPr>
      </w:pPr>
      <w:r>
        <w:rPr>
          <w:rFonts w:ascii="Arial" w:cs="Arial" w:eastAsia="Arial" w:hAnsi="Arial"/>
          <w:sz w:val="16"/>
          <w:szCs w:val="16"/>
          <w:color w:val="auto"/>
        </w:rPr>
        <w:t>Our estimated total liability to resolve all pending and unasserted potential future asbestos claims through 2059 is approximately $343 million and is principally recorded in Other long-term liabilities on our Condensed Consolidated Balance Sheet as of March 31, 2018. This amount is on a pre-tax basis, not discounted, and excludes the Company’s legal fees to defend the asbestos claims (which will continue to be expensed by the Company as they are incurred).</w:t>
      </w:r>
    </w:p>
    <w:p>
      <w:pPr>
        <w:ind w:right="360"/>
        <w:spacing w:after="0" w:line="261" w:lineRule="auto"/>
        <w:rPr>
          <w:sz w:val="20"/>
          <w:szCs w:val="20"/>
          <w:color w:val="auto"/>
        </w:rPr>
      </w:pPr>
      <w:r>
        <w:rPr>
          <w:rFonts w:ascii="Arial" w:cs="Arial" w:eastAsia="Arial" w:hAnsi="Arial"/>
          <w:sz w:val="18"/>
          <w:szCs w:val="18"/>
          <w:color w:val="auto"/>
        </w:rPr>
        <w:t>In addition, the Company has an insurance recovery receivable for probable asbestos related recoveries of approximately $147 million, which is included primarily in Other assets on our Condensed Consolidated Balance Sheet as of March 31, 2018.</w:t>
      </w:r>
    </w:p>
    <w:p>
      <w:pPr>
        <w:spacing w:after="0" w:line="76"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least annually, the Company evaluates all of these factors and, with input from an outside actuarial expert, makes any necessary adjustments to both our estimated asbestos liabilities and insurance recoveries.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color w:val="auto"/>
        </w:rPr>
        <w:t>As described in Note 14 of this Form 10-Q and Note 17 to the Consolidated Financial Statements in our 2017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76"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do not believe that these matters will have a material adverse effect upon our competitive position, results of operations, cash flows or financial condition.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Financial Data</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 As discussed in Note 7, 2017 amounts have been recasted based on the adoption of ASU 2017-07.</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March 31, 2018 and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sales by segment include inter-segment sales, which are generally made at prices approximating those that the selling entity is able to obtain on external sales. Segment information for the quarter ended March 31, 2018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UTC Climate,</w:t>
            </w:r>
          </w:p>
        </w:tc>
        <w:tc>
          <w:tcPr>
            <w:tcW w:w="180" w:type="dxa"/>
            <w:vAlign w:val="bottom"/>
          </w:tcPr>
          <w:p>
            <w:pPr>
              <w:spacing w:after="0"/>
              <w:rPr>
                <w:sz w:val="14"/>
                <w:szCs w:val="14"/>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Pratt &amp;</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UTC</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Otis</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Aerospace</w:t>
            </w:r>
          </w:p>
        </w:tc>
        <w:tc>
          <w:tcPr>
            <w:tcW w:w="22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Security</w:t>
            </w: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Whitney</w:t>
            </w:r>
          </w:p>
        </w:tc>
        <w:tc>
          <w:tcPr>
            <w:tcW w:w="14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6"/>
              </w:rPr>
              <w:t>Systems</w:t>
            </w:r>
          </w:p>
        </w:tc>
        <w:tc>
          <w:tcPr>
            <w:tcW w:w="2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b w:val="1"/>
                <w:bCs w:val="1"/>
                <w:color w:val="auto"/>
              </w:rPr>
              <w:t>Primary Geographical Markets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line="20" w:lineRule="exact"/>
              <w:rPr>
                <w:sz w:val="1"/>
                <w:szCs w:val="1"/>
                <w:color w:val="auto"/>
              </w:rPr>
            </w:pPr>
          </w:p>
        </w:tc>
      </w:tr>
      <w:tr>
        <w:trPr>
          <w:trHeight w:val="230"/>
        </w:trPr>
        <w:tc>
          <w:tcPr>
            <w:tcW w:w="38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Segment sales disaggregated by product type and product versus service for the quarter ended March 31,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UTC Climate,</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Pratt &amp;</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UTC</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Otis</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Controls &amp;</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Aerospace</w:t>
            </w:r>
          </w:p>
        </w:tc>
        <w:tc>
          <w:tcPr>
            <w:tcW w:w="22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8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Security</w:t>
            </w: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Whitney</w:t>
            </w:r>
          </w:p>
        </w:tc>
        <w:tc>
          <w:tcPr>
            <w:tcW w:w="140" w:type="dxa"/>
            <w:vAlign w:val="bottom"/>
          </w:tcPr>
          <w:p>
            <w:pPr>
              <w:spacing w:after="0"/>
              <w:rPr>
                <w:sz w:val="13"/>
                <w:szCs w:val="13"/>
                <w:color w:val="auto"/>
              </w:rPr>
            </w:pPr>
          </w:p>
        </w:tc>
        <w:tc>
          <w:tcPr>
            <w:tcW w:w="9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6"/>
              </w:rPr>
              <w:t>Systems</w:t>
            </w: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Type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Commercial and industrial, non aerospace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Military aerospace</w:t>
            </w:r>
          </w:p>
        </w:tc>
        <w:tc>
          <w:tcPr>
            <w:tcW w:w="2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Sales Type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3,188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Total segment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Accounting Pronouncements</w:t>
      </w:r>
    </w:p>
    <w:p>
      <w:pPr>
        <w:spacing w:after="0" w:line="229" w:lineRule="exact"/>
        <w:rPr>
          <w:sz w:val="20"/>
          <w:szCs w:val="20"/>
          <w:color w:val="auto"/>
        </w:rPr>
      </w:pPr>
    </w:p>
    <w:p>
      <w:pPr>
        <w:ind w:firstLine="554"/>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A modified retrospective transition approach is required for lessees for capital and operating leases and lessors for sales-type, direct financing, and operating leases existing at, or entered into after, the beginning of the earliest comparative period presented in the financial statements, with certain practical expedients available. We expect that upon adoption we will recognize ROU assets and lease liabilities and that the amounts could be material. We do not expect the ASU to have a material impact on our cash flows or results of operations.</w:t>
      </w:r>
    </w:p>
    <w:p>
      <w:pPr>
        <w:spacing w:after="0" w:line="188" w:lineRule="exact"/>
        <w:rPr>
          <w:sz w:val="20"/>
          <w:szCs w:val="20"/>
          <w:color w:val="auto"/>
        </w:rPr>
      </w:pPr>
    </w:p>
    <w:p>
      <w:pPr>
        <w:ind w:right="200" w:firstLine="554"/>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w:t>
      </w:r>
      <w:r>
        <w:rPr>
          <w:rFonts w:ascii="Arial" w:cs="Arial" w:eastAsia="Arial" w:hAnsi="Arial"/>
          <w:sz w:val="17"/>
          <w:szCs w:val="17"/>
          <w:color w:val="auto"/>
        </w:rPr>
        <w:t>. The new standard allows companies to reclassify to retained earnings the stranded tax effects in accumulated other comprehensive income (“AOCI”)</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newly-enacted US Tax Cuts and Jobs Act. The new standard is effective for fiscal years beginning after December 15, 2018, including interim periods within those fiscal years, with early adoption permitted. We are still evaluating the impact of our pending adoption of the new standard on our consolidated financial statements. However,we expect that upon adoption we will recognize a reclassification from AOCI to retained earnings that could be material. We do not expect this ASU to have a material impact on our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March 31, 2018 and 2017, PricewaterhouseCoopers LLP (PricewaterhouseCoopers) reported that it has applied limited procedures in accordance with professional standards for a review of such information. However, its report dated April 27, 2018,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United Technologies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Financial Information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as of March 31, 2018 and the related condensed consolidated statements of operations, of comprehensive income, and of cash flows for the three-month periods ended March 31, 2018 and 2017,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Corporation as of December 31, 2017, and the related consolidated statements of operations, of comprehensive income, of changes in equity and of cash flows for the year then ended (not presented herein), and in our report dated February 8, 2018, we expressed an unqualified opinion on those consolidated financial statements. In our opinion, the information set forth in the accompanying condensed consolidated balance sheet as of December 31, 2017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interim financial information is the responsibility of the Corporation’s management.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27,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w:t>
      </w:r>
    </w:p>
    <w:p>
      <w:pPr>
        <w:spacing w:after="0" w:line="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2018 is discussed below. For additional discussion, refer to the "Business Overview" section in Management's Discussion and Analysis of Financial Condition and Results of Operations in our 2017 Annual Report, which is incorporated by reference in our 2017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spares businesses, and longer cycles at Otis and in our aerospace OEM and aftermarket maintenance businesses. Our customers are in the public and private sectors, and our businesses reflect an extensive geographic diversification that has evolved with continued globalization.</w:t>
      </w:r>
    </w:p>
    <w:p>
      <w:pPr>
        <w:spacing w:after="0" w:line="189"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Our military businesses' sales are affected by U.S. Department of Defense budget and spending levels. Total sales to the U.S. Government were $1.6 billion and $1.3 billion for the quarters ended March 31, 2018 and 2017, 10% and 9% of total UTC sales for those periods,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2018.</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7"/>
          <w:szCs w:val="17"/>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quarter ended March 31, 2018, our investment in business acquisitions was $125 million, which primarily reflects an acquisition at Pratt &amp; Whitney. We do not expect to have additional significant acquisition spend, other than the expected acquisition of Rockwell Collins. However, actual acquisition spending may vary depending upon the timing, availability and value of acquisition opportunities.</w:t>
      </w:r>
    </w:p>
    <w:p>
      <w:pPr>
        <w:spacing w:after="0" w:line="173" w:lineRule="exact"/>
        <w:rPr>
          <w:sz w:val="20"/>
          <w:szCs w:val="20"/>
          <w:color w:val="auto"/>
        </w:rPr>
      </w:pPr>
    </w:p>
    <w:p>
      <w:pPr>
        <w:ind w:firstLine="567"/>
        <w:spacing w:after="0" w:line="284" w:lineRule="auto"/>
        <w:rPr>
          <w:sz w:val="20"/>
          <w:szCs w:val="20"/>
          <w:color w:val="auto"/>
        </w:rPr>
      </w:pPr>
      <w:r>
        <w:rPr>
          <w:rFonts w:ascii="Arial" w:cs="Arial" w:eastAsia="Arial" w:hAnsi="Arial"/>
          <w:sz w:val="16"/>
          <w:szCs w:val="16"/>
          <w:color w:val="auto"/>
        </w:rPr>
        <w:t>On September 4, 2017, we announced that we had entered into a merger agreement with Rockwell Collins, under which we agreed to acquire Rockwell Collins. Under the terms of the merger agreement, each Rockwell Collins shareowner will receive $93.33 per share in cash and a fraction of a share of UTC common stock equal to the quotient obtained by dividing $46.67 by the average of the volume-weighted average price per share of UTC common stock on the NYSE on each of the 20 consecutive trading days ending with the trading day immediately prior to the closing date (the “UTC Stock Price”), subject to adjustment based on a two-way collar mechanism as described below (the “Stock Consideration”). The cash and UTC stock payable in exchange for each such share of Rockwell Collins common stock are collectively the “Merger Consideration.” The fraction of a share of UTC common stock into which each such share of Rockwell Collins common stock will be converted is the “Exchange Ratio.” The Exchange Ratio will be determined based upon the UTC Stock Price. If the UTC Stock Price is greater than $107.01 but less than $124.37, the Exchange Ratio will be equal to the quotient of (i) $46.67 divided by</w:t>
      </w:r>
    </w:p>
    <w:p>
      <w:pPr>
        <w:spacing w:after="0" w:line="1" w:lineRule="exact"/>
        <w:rPr>
          <w:sz w:val="20"/>
          <w:szCs w:val="20"/>
          <w:color w:val="auto"/>
        </w:rPr>
      </w:pPr>
    </w:p>
    <w:p>
      <w:pPr>
        <w:ind w:right="20" w:firstLine="8"/>
        <w:spacing w:after="0" w:line="270" w:lineRule="auto"/>
        <w:tabs>
          <w:tab w:leader="none" w:pos="26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UTC Stock Price, which, in each case, will result in the Stock Consideration having a value equal to $46.67. If the UTC Stock Price is less than or equal to $107.01 or greater than or equal to $124.37, then a two-way collar mechanism will apply, pursuant to which, (x) if the UTC Stock Price is greater than or equal to $124.37, the Exchange Ratio will be fixed at 0.37525 and the value of the Stock Consideration will be greater than $46.67, and (y) if the UTC Stock Price is less than or equal to $107.01, the Exchange Ratio will be fixed at 0.43613 and the value of the Stock Consideration will be less than $46.67. On January 11, 2018, the merger was approved by Rockwell Collins' shareowners. We currently expect that the merger will be completed mid-year 2018, subject to customary closing conditions, including the receipt of required regulatory approvals.</w:t>
      </w:r>
    </w:p>
    <w:p>
      <w:pPr>
        <w:spacing w:after="0" w:line="179"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We anticipate that approximately $15 billion will be required to pay the aggregate cash portion of the Merger Consideration. We expect to fund the cash portion of the Merger Consideration through debt issuances and cash on hand. We have entered into a $6.5 billion 364-day unsecured bridge loan credit agreement that would be funded only to the extent certain of the anticipated debt issuances are not completed prior to the completion of the merger. Additionally, we expect to assume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approximately $7 billion of Rockwell Collins' outstanding debt upon completion of the merger. To help manage the cash flow and liquidity resulting from the proposed acquisition, we have suspended share repurchases, excluding activity relating to our employee savings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2018. See Part I, Item 1A, "Risk Factors" in our 2017 Form 10-K for further discussion.</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2017 Annual Report, incorporated by reference in our 2017 Form 10-K, describe the significant accounting estimates and policies used in preparation of the Consolidated Financial Statements. Actual results in these areas could differ from management's estimates.</w:t>
      </w:r>
    </w:p>
    <w:p>
      <w:pPr>
        <w:spacing w:after="0" w:line="7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Effective January 1, 2018, we adopted ASU 2014-09 and its related amendments (collectively, the New Revenue Standard) and elected the modified retrospective approach.</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Revenue Recognition Accounting Policy Summary. </w:t>
      </w:r>
      <w:r>
        <w:rPr>
          <w:rFonts w:ascii="Arial" w:cs="Arial" w:eastAsia="Arial" w:hAnsi="Arial"/>
          <w:sz w:val="18"/>
          <w:szCs w:val="18"/>
          <w:color w:val="auto"/>
        </w:rPr>
        <w:t>We account for revenue in accordance with Accounting Standards Codification (ASC) Topic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Topic 606, a performance obligation is a promise in a contract with a customer to transfer a distinct good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the customer. Some of our contracts with customers contain a single performance obligation, while other contracts contain multiple performance obligations most commonly when contracts span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consider the contractual consideration payable by the customer and assess variable consideration that may affect the total transaction price, including contractual discounts, contract incentive payments, estimates of award fees, and other sources of variable consideration, when determining the transaction price of each contract. We include variable consideration in estimated transaction price when there is a basis to reasonably estimate the amount. These estimates are based on historical experience, anticipated performance and our best judgment at the time. We consider whether our contracts provide customers with significant financing. Generally, our contracts do not contain significant financing.</w:t>
      </w:r>
    </w:p>
    <w:p>
      <w:pPr>
        <w:spacing w:after="0" w:line="17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Point in time revenue recognition. </w:t>
      </w:r>
      <w:r>
        <w:rPr>
          <w:rFonts w:ascii="Arial" w:cs="Arial" w:eastAsia="Arial" w:hAnsi="Arial"/>
          <w:sz w:val="17"/>
          <w:szCs w:val="17"/>
          <w:color w:val="auto"/>
        </w:rPr>
        <w:t>Timing of the satisfaction of performance obligations varies across our businesses due to our diverse product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mix, customer base, and contractual terms. Performance obligations are satisfied as of a point in time for heating, ventilating, air-conditioning and refrigeration systems, certain alarm and fire detection and suppression systems, and certain aerospace components and engines components. Revenue is recognized when control of the product transfers to the customer, generally upon product shipment.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Over-time revenue recognition. </w:t>
      </w:r>
      <w:r>
        <w:rPr>
          <w:rFonts w:ascii="Arial" w:cs="Arial" w:eastAsia="Arial" w:hAnsi="Arial"/>
          <w:sz w:val="18"/>
          <w:szCs w:val="18"/>
          <w:color w:val="auto"/>
        </w:rPr>
        <w:t>Performance obligations are satisfied over-time if the customer receives the benefits as we perform work, if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the asset as it is being produced, or if the product being produced for the customer has no alternative use and we have a contractual right to payment. Revenue is recognized for our construction-type and certain production-type contracts on an over-time basis. We recognize revenue on an over-time basis on certain long-term aerospace aftermarket contracts and aftermarket service work; development, fixed price, and other cost reimbursement contracts in our aerospace businesses; and elevator and escalator sales, installation, service, modernization and other construction contracts in our commercial businesses. Commercial businesses service revenue is primarily recognized on a straight-line basis over the contract period. For construction and installation contracts within our commercial businesses and aerospace performance obligations satisfied over time, revenue is recognized using costs incurred to date relative to total estimated costs at completion to measure progress. Incurred costs represent work performed, which correspond with and best depict transfer of control to the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customer. Contract costs include labor, materials, and subcontractors' costs, or other direct costs, and where applicable on government and commercial contracts, indirect costs.</w:t>
      </w:r>
    </w:p>
    <w:p>
      <w:pPr>
        <w:spacing w:after="0" w:line="170"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For certain of our long-term aftermarket contracts, revenue is recognized over the contract period. In the commercial businesses, revenue is primarily recognized on a straight-line basis over the contract period. In the aerospace businesses, we generally account for such contracts as a series of daily obligations to stand ready to provide product maintenance and aftermarket services. Revenues are primarily recognized in proportion to cost as sufficient historical evidence indicates that the cost of performing services under the contract are incurred on an other than straight-line basis. Aerospace contract modifications are routine, and contracts are often modified to account for changes in contract specifications or requirements. Contract modifications that are for goods or services that are not distinct are accounted for as part of the existing contract.</w:t>
      </w:r>
    </w:p>
    <w:p>
      <w:pPr>
        <w:spacing w:after="0" w:line="178"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We incur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original equipment (OEM) products are delivered to the customer. In instances where intellectual property does not transfer to the customer, we defer the customer funding of OEM product engineering and development and recognize revenue when the OEM products are delivered to the customer. Costs to obtain contracts are not material.</w:t>
      </w:r>
    </w:p>
    <w:p>
      <w:pPr>
        <w:spacing w:after="0" w:line="15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Loss provisions on OEM contracts are recognized to the extent that estimated contract costs exceed the estimated consideration from the products contemplated under the contractual arrangement. For new commitments, we generally record loss provisions at the earlier of contract announcement or contract signing except for certain contracts under which losses are recorded upon receipt of the purchase order that obligates us to perform. For existing commitments, anticipated losses on contractual arrangements are recognized in the period in which losses become evident. Products contemplated under contractual arrangements include firm quantities of product sold under contract and, in the large commercial engine and wheels and brakes businesses, future highly probable sales of replacement parts required by regulation that are expected to be sold subsequently for incorporation into the original equipment. In the large commercial engine and wheels and brakes businesses, when the combined original equipment and aftermarket arrangement for each individual sales campaign are profitable, we record original equipment product losses, as applicable, at the time of delivery.</w:t>
      </w:r>
    </w:p>
    <w:p>
      <w:pPr>
        <w:spacing w:after="0" w:line="166"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review our cost estimates on significant contracts on a quarterly basis, and for others, no less frequently than annually or when circumstances change and warrant a modification to a previous estimate. We record changes in contract estimates using the cumulative catch-up method.</w:t>
      </w:r>
    </w:p>
    <w:p>
      <w:pPr>
        <w:spacing w:after="0" w:line="200" w:lineRule="exact"/>
        <w:rPr>
          <w:sz w:val="20"/>
          <w:szCs w:val="20"/>
          <w:color w:val="auto"/>
        </w:rPr>
      </w:pPr>
    </w:p>
    <w:p>
      <w:pPr>
        <w:spacing w:after="0" w:line="37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Note 2 of the condensed consolidated financial statements contains further detail regarding the adoption of the New Revenue Standard and its impact on the statement of operations for the three months ended March 31, 2018 and the balance sheet as of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15,242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13,815</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factors contributing to the total percentage change year-over-year in total net sales for the quarter ended March 31, 2018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Quarter Ended March 31, 2018</w:t>
            </w: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0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908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90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All four segments experienced organic sales growth during the quarter ended March 31, 2018. Pratt &amp; Whitney sales grew 9% organically, driven by higher commercial aftermarket sales and higher military sales. Climate, Controls &amp; Security sales grew 7% organically, driven by growth in residential HVAC, global commercial HVAC, and transport refrigeration. Organic sales growth of 5% at UTC Aerospace Systems was driven by higher commercial aerospace aftermarket sales and higher military OEM and aftermarket sales, partially offset by lower commercial OEM sales. Otis sales grew 1% organically, reflecting higher service sales, driven by growth in North America, partially offset by lower new equipment sales. The decline in new equipment sales was driven by a decline in China, partially offset by growth in North America.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11,280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10,136</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w:t>
            </w:r>
          </w:p>
        </w:tc>
      </w:tr>
    </w:tbl>
    <w:p>
      <w:pPr>
        <w:spacing w:after="0" w:line="12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ended March 31, 2018 in total cost of products and services sold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Quarter Ended March 31, 2018</w:t>
            </w: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0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908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08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organic increase in total cost of products and services sold for the quarter ended March 31, 2018 was primarily driven by the organic sales increases noted above and higher negative engine margin at Pratt &amp; Whitney.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3,962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3,679</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w:t>
            </w:r>
          </w:p>
        </w:tc>
      </w:tr>
    </w:tbl>
    <w:p>
      <w:pPr>
        <w:spacing w:after="0" w:line="121"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The decrease in gross margin as a percentage of sales for the quarter ended March 31, 2018 primarily reflects a 190 basis point decline in Pratt &amp; Whitney's gross margin, driven by higher negative engine margin that include higher customer support provisions and a 100 basis point decline in gross margin at Otis that was driven by pricing pressure, primarily in China. These</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declines were offset by a 100 basis point improvement at UTC Aerospace Systems reflecting higher commercial aftermarket volumes that was partially offset by adverse commercial OEM mix; and a 10 basis point increase in gross margin at UTC Climate, Controls &amp; Security, reflecting the absence of a prior year unfavorable contract adjustment related to a large commercial project, partially offset by period costs associated with a product recall program.</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586</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340</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2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decrease (5%) in company-funded research and development for the quarter ended March 31, 2018 was driven by UTC Aerospace Systems (4%) reflecting the capitalization of certain development costs in accordance with the New Revenue Standard and lower spending across various programs, and lower spending at Pratt &amp; Whitney (3%), partially offset by an increase at UTC Climate, Controls &amp; Security (1%) that was primarily driven by the impact of foreign exchange.</w:t>
      </w:r>
    </w:p>
    <w:p>
      <w:pPr>
        <w:spacing w:after="0" w:line="5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Customer-funded research and development for the quarter ended March 31, 2018 decreased 5% year over year, primarily driven by UTC Aerospace Systems (6%), reflecting the capitalization of certain development costs in accordance with the New Revenue Standard, partially offset by higher research and development spending on military development programs at Pratt &amp; Whitney (2%).</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1,537</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Selling, general and administrative expenses increased 11% in the quarter ended March 31, 2018, primarily driven by the impact of foreign exchange</w:t>
      </w:r>
    </w:p>
    <w:p>
      <w:pPr>
        <w:spacing w:after="0" w:line="46"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(4%) and transaction costs related to the merger agreement with Rockwell Collins (2%). The growth in Selling, general and administrative expenses also reflects higher expenses at UTC Aerospace Systems (2%), primarily driven by increased headcount and employee compensation related expenses, higher expenses at UTC Climate, Controls &amp; Security (2%) including the impact of costs associated with a product recall program, and an increase at Pratt &amp; Whitney (1%) driven by increased headcount and employee compensation related expenses and related costs to support higher volumes.</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Quarter Ended March 31,</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7"/>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Other income, net includes equity earnings in unconsolidated entities, royalty income, foreign exchange gains and losses, as well as other ongoing and nonrecurring items. The year-over-year decrease in other income, net ($357 million, 61%) for the quarter ended March 31, 2018 is driven by the absence of gains on the sale of investments in the prior year (69%) primarily from the sale of UTC Climate, Controls &amp; Security's investments in Watsco, Inc, partially offset by the year-over-year impact of favorable insurance settlements (6%) and a gain on a divestiture at Pratt &amp; Whitney (4%).</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Quarter Ended March 31,</w:t>
            </w:r>
          </w:p>
        </w:tc>
      </w:tr>
      <w:tr>
        <w:trPr>
          <w:trHeight w:val="229"/>
        </w:trPr>
        <w:tc>
          <w:tcPr>
            <w:tcW w:w="8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19"/>
                <w:szCs w:val="19"/>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236</w:t>
            </w:r>
          </w:p>
        </w:tc>
      </w:tr>
      <w:tr>
        <w:trPr>
          <w:trHeight w:val="243"/>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213</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8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2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Interest expense, net increased 8% for the quarter ended March 31, 2018 relative to the prior year. The increase in interest expense reflects the impact of the May 4, 2017 issuance of notes representing $4 billion in aggregate principal, partially offset by the favorable impact of using a portion of the net proceeds of that issuance for the repayment at maturity of 1.800% notes, representing $1.5 billion in aggregate principal. The average maturity of our long-term debt at March 31, 2018 is approximately 12 years.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71"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23495</wp:posOffset>
            </wp:positionV>
            <wp:extent cx="1886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43"/>
        </w:trPr>
        <w:tc>
          <w:tcPr>
            <w:tcW w:w="9340" w:type="dxa"/>
            <w:vAlign w:val="bottom"/>
            <w:gridSpan w:val="2"/>
            <w:shd w:val="clear" w:color="auto" w:fill="CCEEFF"/>
          </w:tcPr>
          <w:p>
            <w:pPr>
              <w:jc w:val="right"/>
              <w:ind w:right="798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84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22, 2017 Public Law 115-97 “An Act to Provide for Reconciliation Pursuant to Titles II and V of the</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Concurrent Resolution on the Budget for Fiscal Year 2018” was enacted. This law is commonly referred to as the Tax Cuts and Jobs Act of 2017 (TCJA). In accordance with Staff Accounting Bulletin 118 (SAB 118) issued on December 22, 2017, the U.S. income tax amounts recorded attributable to the TCJA’s deemed repatriation provision, the revaluation of U.S. deferred taxes and the tax consequences relating to states with current conformity to the Internal Revenue Code are provisional amounts. Due to the enactment date and tax complexities of the TCJA, the Company has not completed its accounting related to these items.</w:t>
      </w:r>
    </w:p>
    <w:p>
      <w:pPr>
        <w:spacing w:after="0" w:line="191"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as provided for by SAB 118 this evaluation has not yet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20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will continue to accumulate and refine the relevant data and computational elements needed to finalize its accounting for the effects of the TCJA by December 22, 2018.</w:t>
      </w:r>
    </w:p>
    <w:p>
      <w:pPr>
        <w:spacing w:after="0" w:line="184" w:lineRule="exact"/>
        <w:rPr>
          <w:sz w:val="20"/>
          <w:szCs w:val="20"/>
          <w:color w:val="auto"/>
        </w:rPr>
      </w:pPr>
    </w:p>
    <w:p>
      <w:pPr>
        <w:ind w:right="280" w:firstLine="810"/>
        <w:spacing w:after="0" w:line="257" w:lineRule="auto"/>
        <w:rPr>
          <w:sz w:val="20"/>
          <w:szCs w:val="20"/>
          <w:color w:val="auto"/>
        </w:rPr>
      </w:pPr>
      <w:r>
        <w:rPr>
          <w:rFonts w:ascii="Arial" w:cs="Arial" w:eastAsia="Arial" w:hAnsi="Arial"/>
          <w:sz w:val="18"/>
          <w:szCs w:val="18"/>
          <w:color w:val="auto"/>
        </w:rPr>
        <w:t>The decrease in the effective tax rate for the quarter ended March 31, 2018 is primarily due to a reduction of the estimated full year forecasted effective tax rate as a result of the enactment of TCJA. In addition, the rate reflects a tax charge of $44 million primarily related to provisional adjustments associated with regulatory guidance issued during the first quarter regarding the deemed repatriation provisions of the TCJA. This is partially offset by the absence of the unfavorable tax impact in the March 31, 2017 period related to the gain on the sale of UTC Climate Control &amp; Security’s investment in Watsco, Inc.</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shown in the table above, the effective tax rate for the quarter ended March 31, 2018 is 27.6%; the effective income tax rate for the same period, excluding restructuring, non-operational nonrecurring items, is 25.0%. We estimate our full year 2018 annual effective income tax rate to be approximately 25.5%, excluding restructuring, non-operational nonrecurring items and adjustments related to the TCJA.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4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1,386</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operations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r>
    </w:tbl>
    <w:p>
      <w:pPr>
        <w:spacing w:after="0" w:line="12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Net income attributable to common shareowners for the quarter ended March 31, 2018 includes restructuring charges, net of tax benefit, of $52 million as well as a net charge for significant non-operational and/or nonrecurring items, including the impact of taxes, of $72 million. The effect of restructuring charges and significant non-operational and/or nonrecurring items on diluted earnings per share for the quarter ended March 31, 2018 was a charge of $0.15 per share while the effect of foreign currency translation and Pratt &amp;Whitney Canada hedging generated a favorable impact of $0.04 per diluted share.</w:t>
      </w:r>
    </w:p>
    <w:p>
      <w:pPr>
        <w:spacing w:after="0" w:line="15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Net income attributable to common shareowners for the quarter ended March 31, 2017 includes restructuring charges, net of tax benefit, of $34 million as well as gains from the sale of available-for-sale securities, net of tax, of $238 million. The effect of restructuring charges and nonrecurring items on diluted earnings per share for the quarter ended March 31, 2017 was a gain of $0.25 per share while the effect of foreign currency translation and Pratt &amp;Whitney Canada hedging generated a favorable impact of $0.03 per diluted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expect restructuring costs in 2018 to be consistent with 2017,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5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2018 Actions. </w:t>
      </w:r>
      <w:r>
        <w:rPr>
          <w:rFonts w:ascii="Arial" w:cs="Arial" w:eastAsia="Arial" w:hAnsi="Arial"/>
          <w:sz w:val="17"/>
          <w:szCs w:val="17"/>
          <w:color w:val="auto"/>
        </w:rPr>
        <w:t>During the quarter ended March 31, 2018, we recorded net pre-tax restructuring charges of $12 million relating to ongoing cost reduction</w:t>
      </w:r>
      <w:r>
        <w:rPr>
          <w:rFonts w:ascii="Arial" w:cs="Arial" w:eastAsia="Arial" w:hAnsi="Arial"/>
          <w:sz w:val="17"/>
          <w:szCs w:val="17"/>
          <w:b w:val="1"/>
          <w:bCs w:val="1"/>
          <w:color w:val="auto"/>
        </w:rPr>
        <w:t xml:space="preserve"> </w:t>
      </w:r>
      <w:r>
        <w:rPr>
          <w:rFonts w:ascii="Arial" w:cs="Arial" w:eastAsia="Arial" w:hAnsi="Arial"/>
          <w:sz w:val="17"/>
          <w:szCs w:val="17"/>
          <w:color w:val="auto"/>
        </w:rPr>
        <w:t>actions initiated in 2018. We expect to incur additional restructuring charges of $40 million to complete these actions. We are targeting to complete in 2018 and 2019 the majority of the remaining workforce and facility related cost reduction actions initiated in 2018. We expect recurring pre-tax savings in continuing operations to increase to approximately $26 million annually over the two-year period subsequent to initiating the actions. Approximately 95% of the total expected pre-tax charges will require cash payments, which we have funded and expect to continue to fund with cash generated from operations. During the quarter ended March 31, 2018, we had cash outflows of approximately $4 million related to the 2018 actions.</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2017 Actions. </w:t>
      </w:r>
      <w:r>
        <w:rPr>
          <w:rFonts w:ascii="Arial" w:cs="Arial" w:eastAsia="Arial" w:hAnsi="Arial"/>
          <w:sz w:val="18"/>
          <w:szCs w:val="18"/>
          <w:color w:val="auto"/>
        </w:rPr>
        <w:t>During the quarter ended March 31, 2018 and 2017, we recorded net pre-tax restructuring charges of $51 million and $24 million,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for actions initiated in 2017. We expect to incur additional restructuring charges of $103 million to complete these actions. We are targeting to complete in 2018 the majority of the remaining workforce and facility related cost reduction actions initiated in 2017. We expect recurring pre-tax savings in continuing operations to increase over the two-year period subsequent to initiating the actions to approximately $207 million annually, of which, approximately $43 million was realized during the quarter ended March 31, 2018. Approximately 81% of the total expected pre-tax charge will require cash payments, which we have and expect to continue to fund with cash generated from operations. During the quarter ended March 31, 2018, we had cash outflows of approximately $39 million related to the 2017 actions.</w:t>
      </w:r>
    </w:p>
    <w:p>
      <w:pPr>
        <w:spacing w:after="0" w:line="19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during the quarter ended March 31, 2018, we recorded net pre-tax restructuring costs totaling $6 million for restructuring actions initiated in 2016 and prior. For additional discussion of restructuring, see Note 8 to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ended March 31, 2018 and 2017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At constant currency and excluding the effect of acquisitions and divestitures, UTC Climate, Controls &amp; Security equipment orders in the quarter ended March 31, 2018 increased 10% in comparison to the same period of the prior year, driven by increases in transport refrigeration (37%) and residential equipment (24%). At constant currency, and excluding the impact of the New Revenue Standard, Otis new equipment orders in the quarter were down 4% in comparison to the prior year, driven by a decrease in orders in North America (9%) and China (2%).</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March 31, 2018 and 2017 was as follows:</w:t>
      </w:r>
    </w:p>
    <w:p>
      <w:pPr>
        <w:sectPr>
          <w:pgSz w:w="11900" w:h="16838" w:orient="portrait"/>
          <w:cols w:equalWidth="0" w:num="1">
            <w:col w:w="11420"/>
          </w:cols>
          <w:pgMar w:left="240" w:top="122" w:right="2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Otis</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242 %</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23.9%</w:t>
            </w:r>
          </w:p>
        </w:tc>
        <w:tc>
          <w:tcPr>
            <w:tcW w:w="1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2018 Compared with Quarter Ended March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1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ind w:left="660"/>
              <w:spacing w:after="0" w:line="153" w:lineRule="exact"/>
              <w:rPr>
                <w:sz w:val="20"/>
                <w:szCs w:val="20"/>
                <w:color w:val="auto"/>
              </w:rPr>
            </w:pPr>
            <w:r>
              <w:rPr>
                <w:rFonts w:ascii="Arial" w:cs="Arial" w:eastAsia="Arial" w:hAnsi="Arial"/>
                <w:sz w:val="14"/>
                <w:szCs w:val="14"/>
                <w:b w:val="1"/>
                <w:bCs w:val="1"/>
                <w:color w:val="auto"/>
              </w:rPr>
              <w:t>FX</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6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40" w:firstLine="432"/>
        <w:spacing w:after="0" w:line="342" w:lineRule="auto"/>
        <w:rPr>
          <w:sz w:val="20"/>
          <w:szCs w:val="20"/>
          <w:color w:val="auto"/>
        </w:rPr>
      </w:pPr>
      <w:r>
        <w:rPr>
          <w:rFonts w:ascii="Arial" w:cs="Arial" w:eastAsia="Arial" w:hAnsi="Arial"/>
          <w:sz w:val="16"/>
          <w:szCs w:val="16"/>
          <w:color w:val="auto"/>
        </w:rPr>
        <w:t>The organic sales increase of 1% reflects higher service sales (2%), primarily driven by growth in North America, partially offset by lower new equipment sales (1%). The decline in new equipment sales was driven by a decline in China (2%), partially offset by growth in North America (1%).</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2% was driven by:</w:t>
      </w:r>
    </w:p>
    <w:p>
      <w:pPr>
        <w:spacing w:after="0" w:line="23"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price and mix (12%), primarily driven by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commodities impact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(8%)</w:t>
      </w:r>
    </w:p>
    <w:p>
      <w:pPr>
        <w:spacing w:after="0" w:line="9" w:lineRule="exact"/>
        <w:rPr>
          <w:rFonts w:ascii="Arial" w:cs="Arial" w:eastAsia="Arial" w:hAnsi="Arial"/>
          <w:sz w:val="18"/>
          <w:szCs w:val="18"/>
          <w:color w:val="auto"/>
        </w:rPr>
      </w:pPr>
    </w:p>
    <w:p>
      <w:pPr>
        <w:ind w:left="900" w:right="140" w:hanging="244"/>
        <w:spacing w:after="0" w:line="25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transactional foreign exchange gains from mark-to-market adjustments and embedded foreign currency derivatives within certain new equipment contracts (4%)</w:t>
      </w: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productivity (3%).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2018 Compared with Quarter Ended March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Factors Contributing to Total % Change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Restructuring</w:t>
            </w:r>
          </w:p>
        </w:tc>
        <w:tc>
          <w:tcPr>
            <w:tcW w:w="15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5"/>
              </w:rPr>
              <w:t>Operational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9"/>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organic sales increase of 7% was driven by growth in residential HVAC (2%), global commercial HVAC (2%), and transport refrigeration (2%) primarily driven by strong performance in the container division.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8"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7% was driven by:</w:t>
      </w:r>
    </w:p>
    <w:p>
      <w:pPr>
        <w:spacing w:after="0" w:line="23"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net of unfavorable mix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absence of a prior year unfavorable contract adjustment related to a large commercial project (3%)</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higher commodity cost, net of favorable pricing (1%)</w:t>
      </w:r>
    </w:p>
    <w:p>
      <w:pPr>
        <w:spacing w:after="0" w:line="21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46% decrease in “Other” primarily reflects the absence of gains on the sale of investments in the prior year (44%), driven by Watsco, Inc., and the impact of period costs associated with a product recall program (2%).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lower airfares, and stronger economic conditions. Airline traffic, as measured by RPMs, grew approximately 6% in the first two months of 2018.</w:t>
      </w:r>
    </w:p>
    <w:p>
      <w:pPr>
        <w:spacing w:after="0" w:line="17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commercial aftermarket businesses continue to evolve as an increasing proportion of our aerospace businesses' customers are covered under Fleet Management Programs (FMPs) at Pratt &amp; Whitney and long-term aftermarket service agreements at UTC Aerospace Systems. FMPs are comprehensive long-term spare part and service agreements with our customers. We expect a continued shift to FMPs and long-term aftermarket service agreements in lieu of transactional spare part sales as new aerospace product offerings enter our customers' fleets under long-term service agreements and legacy fleets</w:t>
      </w:r>
    </w:p>
    <w:p>
      <w:pPr>
        <w:spacing w:after="0" w:line="15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are retired. For the first three months of 2018, as compared with 2017, total commercial aerospace aftermarket sales increased 18% at Pratt &amp; Whitney and 16% at UTC Aerospace Systems.</w:t>
      </w:r>
    </w:p>
    <w:p>
      <w:pPr>
        <w:spacing w:after="0" w:line="17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record changes in contract estimates using the cumulative catch-up method. Operating profit in the quarter ended March 31, 2018 included significant net unfavorable changes in aerospace contract estimates totaling $41 million, primarily reflecting unfavorable net contract adjustments recorded at Pratt &amp; Whitney and UTC Aerospace Systems. Operating profit in the quarter ended March 31, 2017 included significant net unfavorable changes in aerospace contract estimates of $29 million, primarily representing unfavorable contract adjustments recorded at Pratt &amp; Whitney.</w:t>
      </w:r>
    </w:p>
    <w:p>
      <w:pPr>
        <w:spacing w:after="0" w:line="17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As previously disclosed, Pratt &amp; Whitney's PurePower PW1500G engine models have been selected by Bombardier to power the new CSeries passenger aircraft, which entered into service on July 15, 2016. There have been multi-year delays in the development of the CSeries aircraft. Notwithstanding these delays, Bombardier reports that they have received over 300 orders for the aircraft and that both the CS100 and CS300 aircraft models have been certified and have entered into revenue service. We have made various investments in support of the production and delivery of our PW1500G engines and systems for the CSeries program, which we currently expect to recover through future deliveries of PW1500G powered CSeries aircraft. On October 16, 2017, Bombardier and Airbus announced an agreement to become partners on the CSeries aircraft program. We will continue to monitor the progress of the program and our ability to recover our investments, which we believe would be strengthened by this partnership.</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March 31, 2018 and 2017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Pratt &amp; Whitney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UTC Aerospace Systems</w:t>
            </w:r>
          </w:p>
        </w:tc>
        <w:tc>
          <w:tcPr>
            <w:tcW w:w="960" w:type="dxa"/>
            <w:vAlign w:val="bottom"/>
            <w:tcBorders>
              <w:bottom w:val="single" w:sz="8" w:color="auto"/>
            </w:tcBorders>
          </w:tcPr>
          <w:p>
            <w:pPr>
              <w:spacing w:after="0"/>
              <w:rPr>
                <w:sz w:val="16"/>
                <w:szCs w:val="16"/>
                <w:color w:val="auto"/>
              </w:rPr>
            </w:pP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2018 Compared with Quarter Ended March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right"/>
              <w:ind w:right="739"/>
              <w:spacing w:after="0" w:line="153" w:lineRule="exact"/>
              <w:rPr>
                <w:sz w:val="20"/>
                <w:szCs w:val="20"/>
                <w:color w:val="auto"/>
              </w:rPr>
            </w:pPr>
            <w:r>
              <w:rPr>
                <w:rFonts w:ascii="Arial" w:cs="Arial" w:eastAsia="Arial" w:hAnsi="Arial"/>
                <w:sz w:val="14"/>
                <w:szCs w:val="14"/>
                <w:b w:val="1"/>
                <w:bCs w:val="1"/>
                <w:color w:val="auto"/>
              </w:rPr>
              <w:t>FX</w:t>
            </w:r>
          </w:p>
        </w:tc>
        <w:tc>
          <w:tcPr>
            <w:tcW w:w="16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700" w:type="dxa"/>
            <w:vAlign w:val="bottom"/>
          </w:tcPr>
          <w:p>
            <w:pPr>
              <w:jc w:val="center"/>
              <w:ind w:right="317"/>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3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Translation*</w:t>
            </w:r>
          </w:p>
        </w:tc>
        <w:tc>
          <w:tcPr>
            <w:tcW w:w="16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Divestitures, net</w:t>
            </w:r>
          </w:p>
        </w:tc>
        <w:tc>
          <w:tcPr>
            <w:tcW w:w="170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87"/>
              </w:rPr>
              <w:t>Costs</w:t>
            </w: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w:t>
            </w:r>
          </w:p>
        </w:tc>
        <w:tc>
          <w:tcPr>
            <w:tcW w:w="16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1"/>
                <w:szCs w:val="21"/>
                <w:color w:val="auto"/>
              </w:rPr>
            </w:pPr>
          </w:p>
        </w:tc>
        <w:tc>
          <w:tcPr>
            <w:tcW w:w="1700" w:type="dxa"/>
            <w:vAlign w:val="bottom"/>
          </w:tcPr>
          <w:p>
            <w:pPr>
              <w:jc w:val="right"/>
              <w:ind w:right="119"/>
              <w:spacing w:after="0"/>
              <w:rPr>
                <w:sz w:val="20"/>
                <w:szCs w:val="20"/>
                <w:color w:val="auto"/>
              </w:rPr>
            </w:pPr>
            <w:r>
              <w:rPr>
                <w:rFonts w:ascii="Arial" w:cs="Arial" w:eastAsia="Arial" w:hAnsi="Arial"/>
                <w:sz w:val="18"/>
                <w:szCs w:val="18"/>
                <w:color w:val="auto"/>
              </w:rPr>
              <w:t>1%</w:t>
            </w:r>
          </w:p>
        </w:tc>
        <w:tc>
          <w:tcPr>
            <w:tcW w:w="1620" w:type="dxa"/>
            <w:vAlign w:val="bottom"/>
          </w:tcPr>
          <w:p>
            <w:pPr>
              <w:ind w:left="1220"/>
              <w:spacing w:after="0"/>
              <w:rPr>
                <w:sz w:val="20"/>
                <w:szCs w:val="20"/>
                <w:color w:val="auto"/>
              </w:rPr>
            </w:pPr>
            <w:r>
              <w:rPr>
                <w:rFonts w:ascii="Arial" w:cs="Arial" w:eastAsia="Arial" w:hAnsi="Arial"/>
                <w:sz w:val="18"/>
                <w:szCs w:val="18"/>
                <w:color w:val="auto"/>
              </w:rPr>
              <w:t>—</w:t>
            </w:r>
          </w:p>
        </w:tc>
        <w:tc>
          <w:tcPr>
            <w:tcW w:w="1700" w:type="dxa"/>
            <w:vAlign w:val="bottom"/>
          </w:tcPr>
          <w:p>
            <w:pPr>
              <w:ind w:left="1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w:t>
            </w:r>
          </w:p>
        </w:tc>
        <w:tc>
          <w:tcPr>
            <w:tcW w:w="16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right="140" w:firstLine="8"/>
        <w:spacing w:after="0" w:line="273" w:lineRule="auto"/>
        <w:tabs>
          <w:tab w:leader="none" w:pos="1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77"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organic sales increase of 9% primarily reflects higher commercial aftermarket sales (7%) and higher military sales (2%). The 5% increase in "Other" reflects the sales impact of adopting the New Revenue Standard.</w:t>
      </w:r>
    </w:p>
    <w:p>
      <w:pPr>
        <w:sectPr>
          <w:pgSz w:w="11900" w:h="16838" w:orient="portrait"/>
          <w:cols w:equalWidth="0" w:num="1">
            <w:col w:w="11420"/>
          </w:cols>
          <w:pgMar w:left="240" w:top="121" w:right="239" w:bottom="0" w:gutter="0" w:footer="0" w:header="0"/>
        </w:sectPr>
      </w:pPr>
    </w:p>
    <w:bookmarkStart w:id="37" w:name="page38"/>
    <w:bookmarkEnd w:id="37"/>
    <w:p>
      <w:pPr>
        <w:ind w:left="420"/>
        <w:spacing w:after="0"/>
        <w:rPr>
          <w:sz w:val="20"/>
          <w:szCs w:val="20"/>
          <w:color w:val="auto"/>
        </w:rPr>
      </w:pPr>
      <w:r>
        <w:rPr>
          <w:rFonts w:ascii="Arial" w:cs="Arial" w:eastAsia="Arial" w:hAnsi="Arial"/>
          <w:sz w:val="18"/>
          <w:szCs w:val="18"/>
          <w:color w:val="auto"/>
        </w:rPr>
        <w:t>The operational profit increase of 4% was primarily driven by:</w:t>
      </w:r>
    </w:p>
    <w:p>
      <w:pPr>
        <w:spacing w:after="0" w:line="117"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commercial aftermarket profit contribution (15%), driven by the sales increase noted above</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military profit contribution (9%), driven by the sales increase noted above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00" w:right="440" w:hanging="244"/>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commercial OEM profit contribution (22%), primarily driven by higher negative engine margin due to unfavorable mix and customer support costs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8% increase in "Other" primarily reflects a gain on a divestiture (5%) and the operating profit impact of adopting the New Revenue Standard (3%).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March 31, 2018 Compared with Quarter Ended March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80" w:type="dxa"/>
            <w:vAlign w:val="bottom"/>
          </w:tcPr>
          <w:p>
            <w:pPr>
              <w:spacing w:after="0"/>
              <w:rPr>
                <w:sz w:val="13"/>
                <w:szCs w:val="13"/>
                <w:color w:val="auto"/>
              </w:rPr>
            </w:pPr>
          </w:p>
        </w:tc>
        <w:tc>
          <w:tcPr>
            <w:tcW w:w="116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w w:val="95"/>
              </w:rPr>
              <w:t>Organic /</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right"/>
              <w:ind w:right="779"/>
              <w:spacing w:after="0" w:line="153" w:lineRule="exact"/>
              <w:rPr>
                <w:sz w:val="20"/>
                <w:szCs w:val="20"/>
                <w:color w:val="auto"/>
              </w:rPr>
            </w:pPr>
            <w:r>
              <w:rPr>
                <w:rFonts w:ascii="Arial" w:cs="Arial" w:eastAsia="Arial" w:hAnsi="Arial"/>
                <w:sz w:val="14"/>
                <w:szCs w:val="14"/>
                <w:b w:val="1"/>
                <w:bCs w:val="1"/>
                <w:color w:val="auto"/>
              </w:rPr>
              <w:t>FX</w:t>
            </w:r>
          </w:p>
        </w:tc>
        <w:tc>
          <w:tcPr>
            <w:tcW w:w="15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70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Restructuring</w:t>
            </w:r>
          </w:p>
        </w:tc>
        <w:tc>
          <w:tcPr>
            <w:tcW w:w="14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Operational</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Translation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1 %</w:t>
            </w:r>
          </w:p>
        </w:tc>
        <w:tc>
          <w:tcPr>
            <w:tcW w:w="152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740" w:type="dxa"/>
            <w:vAlign w:val="bottom"/>
          </w:tcPr>
          <w:p>
            <w:pPr>
              <w:jc w:val="right"/>
              <w:ind w:right="119"/>
              <w:spacing w:after="0"/>
              <w:rPr>
                <w:sz w:val="20"/>
                <w:szCs w:val="20"/>
                <w:color w:val="auto"/>
              </w:rPr>
            </w:pPr>
            <w:r>
              <w:rPr>
                <w:rFonts w:ascii="Arial" w:cs="Arial" w:eastAsia="Arial" w:hAnsi="Arial"/>
                <w:sz w:val="18"/>
                <w:szCs w:val="18"/>
                <w:color w:val="auto"/>
              </w:rPr>
              <w:t>2 %</w:t>
            </w: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20" w:type="dxa"/>
            <w:vAlign w:val="bottom"/>
          </w:tcPr>
          <w:p>
            <w:pPr>
              <w:ind w:left="1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organic sales increase of 5% primarily reflects higher commercial aerospace aftermarket sales (5%) and higher military OEM and aftermarket sales (3%), partially offset by lower commercial OEM sales (3%).</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15% primarily reflects:</w:t>
      </w:r>
    </w:p>
    <w:p>
      <w:pPr>
        <w:spacing w:after="0" w:line="117" w:lineRule="exact"/>
        <w:rPr>
          <w:sz w:val="20"/>
          <w:szCs w:val="20"/>
          <w:color w:val="auto"/>
        </w:rPr>
      </w:pPr>
    </w:p>
    <w:p>
      <w:pPr>
        <w:ind w:left="900" w:right="100" w:hanging="244"/>
        <w:spacing w:after="0" w:line="25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commercial aerospace profit contribution driven by commercial aftermarket sales growth, partially offset by lower commercial aerospace OEM profit contribution (net, 13%)</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military OEM and aftermarket profit contribution (6%)</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research and development costs (3%)</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higher selling, general and administrative expenses (7%)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6"/>
              </w:rPr>
              <w:t>Quarter Ended March 31,</w:t>
            </w:r>
          </w:p>
        </w:tc>
        <w:tc>
          <w:tcPr>
            <w:tcW w:w="52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37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Eliminations and other reflects the elimination of sales, other income and operating profit transacted between segments, as well as the operating results of certain smaller businesses. The year-over-year decrease in sales for the quarter ended March 31, 2018, as compared to the same period of 2017, reflects an increase in the amount of inter-segment eliminations, principally between our aerospace businesses. The increase in operating profits for the quarter ended March 31, 2018, includes the year-over-year impact of favorable insurance settlements and the favorable year-over-year impact of foreign exchange, partially offset by transaction costs related to the merger agreement with Rockwell Collins. General corporate expenses for the quarter ended March 31, 2018, were consistent with the corresponding period of 2017.</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14"/>
                <w:szCs w:val="14"/>
                <w:color w:val="auto"/>
              </w:rPr>
            </w:pPr>
          </w:p>
        </w:tc>
        <w:tc>
          <w:tcPr>
            <w:tcW w:w="13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March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7,156</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27,347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24,582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17,426</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32,492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29,272</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(total debt plus 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53,854</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capitalization (total debt plus total equity less cash and cash equivalents)</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52,172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49,921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46,698</w:t>
            </w:r>
          </w:p>
        </w:tc>
      </w:tr>
      <w:tr>
        <w:trPr>
          <w:trHeight w:val="162"/>
        </w:trPr>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 to total capitalization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21"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from continuing operations. For 2018, we expect cash flows from continuing operations, net of capital expenditures, to approximate $4.5 billion to $5.0 billion.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58"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At March 31, 2018, we had cash and cash equivalents of $7,667 million, of which approximately 51% was held by UTC's foreign subsidiaries. We manage our worldwide cash requirements by reviewing available funds among the many subsidiaries through which we conduct our business and the cost effectiveness with which those funds can be accessed. As previously discussed, on December 22, 2017, the TCJA was enacted. 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do so. The Company continues to evaluate the impact of the TCJA on its existing accounting position related to the undistributed earnings. Due to the inherent complexities in determining any incremental U.S. Federal and State taxes and the non-U.S. taxes that may be due if all of these earnings were remitted to the U.S. and in accordance with SAB 118 this evaluation has not been completed and no provisional amount has been recorded in regard to the undistributed amounts. After completing its evaluation, the Company will accrue any additional taxes due on previously undistributed earnings to be distributed in the future.</w:t>
      </w:r>
    </w:p>
    <w:p>
      <w:pPr>
        <w:spacing w:after="0" w:line="167" w:lineRule="exact"/>
        <w:rPr>
          <w:sz w:val="20"/>
          <w:szCs w:val="20"/>
          <w:color w:val="auto"/>
        </w:rPr>
      </w:pPr>
    </w:p>
    <w:p>
      <w:pPr>
        <w:jc w:val="both"/>
        <w:ind w:right="20" w:firstLine="567"/>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March 31, 2018 and December 31, 2017, the amount of such restricted cash was approximately $37 million and $33 million, respectively.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of 46% at March 31, 2018, remained consistent with the prior year. We use our commercial paper borrowings for general corporate purposes, including the funding of potential acquisitions, discretionary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93"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At March 31, 2018, we had revolving credit agreements with various banks permitting aggregate borrowings of up to $4.35 billion pursuant to a $2.20 billion revolving credit agreement and a $2.15 billion multicurrency revolving credit agreement, both of which expire in August 2021. As of March 31, 2018, there were no borrowings under these revolving credit agreements. The undrawn portions of these revolving credit agreements are also available to serve as backup facilities for the issuance of commercial paper. As of March 31, 2018, our maximum commercial paper borrowing limit was $4.35 billion.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Commercial paper borrowings at March 31, 2018 include approximately €750 million ($930 million) of euro-denominated commercial paper.</w:t>
      </w:r>
    </w:p>
    <w:p>
      <w:pPr>
        <w:spacing w:after="0" w:line="237"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On February 1, 2018, we repaid at maturity the $99 million 6.80% notes due in 2018 and on February 22, 2018, we repaid at maturity the €750 million EURIBOR plus 0.80% floating rate notes due in 2018.</w:t>
      </w:r>
    </w:p>
    <w:p>
      <w:pPr>
        <w:spacing w:after="0" w:line="62" w:lineRule="exact"/>
        <w:rPr>
          <w:sz w:val="20"/>
          <w:szCs w:val="20"/>
          <w:color w:val="auto"/>
        </w:rPr>
      </w:pPr>
    </w:p>
    <w:p>
      <w:pPr>
        <w:ind w:right="140" w:firstLine="486"/>
        <w:spacing w:after="0" w:line="258" w:lineRule="auto"/>
        <w:rPr>
          <w:sz w:val="20"/>
          <w:szCs w:val="20"/>
          <w:color w:val="auto"/>
        </w:rPr>
      </w:pPr>
      <w:r>
        <w:rPr>
          <w:rFonts w:ascii="Arial" w:cs="Arial" w:eastAsia="Arial" w:hAnsi="Arial"/>
          <w:sz w:val="18"/>
          <w:szCs w:val="18"/>
          <w:color w:val="auto"/>
        </w:rPr>
        <w:t>On November 13, 2017, we issued €750 million aggregate principal amount of floating rate notes due 2019. The net proceeds from this debt issuance were used to fund the repayment of commercial paper and for other general corporate purposes.</w:t>
      </w:r>
    </w:p>
    <w:p>
      <w:pPr>
        <w:spacing w:after="0" w:line="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On May 4, 2017, we issued $1.0 billion aggregate principal amount of 1.900% notes due 2020, $500 million aggregate principal amount of 2.300% notes due 2022, $800 million aggregate principal amount of 2.800% notes due 2024, $1.1 billion aggregate principal amount of 3.125% notes due 2027 and $600 million aggregate principal amount of 4.050% notes due 2047. The net proceeds received from these debt issuances were used to fund the repayment at maturity of our 1.800% notes due 2017, representing $1.5 billion in aggregate principal and other general corporate purposes.</w:t>
      </w:r>
    </w:p>
    <w:p>
      <w:pPr>
        <w:spacing w:after="0" w:line="69"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Within the Business Overview of Management's Discussion and Analysis, we have described the pending acquisition of Rockwell Collins. The purchase consideration will be a combination of UTC shares and cash. We anticipate that approximately $15 billion will be required to pay the aggregate cash portion of the Merger Consideration. We expect to fund the cash portion of the Merger Consideration through debt issuances and cash on hand. Additionally, we have entered into a $6.5 billion 364-day unsecured bridge loan credit agreement that would be funded only to the extent certain anticipated debt issuances are not completed prior to the completion of the merger. We expect to assume approximately $7 billion of Rockwell Collins’ outstanding debt. To help manage the cash flow and liquidity impact resulting from the proposed acquisition, we have suspended share repurchases, excluding activity relating to our employee savings plans. As we continue to assess the impacts of the TCJA, future opportunities for repatriation of our non-U.S. earnings, and accelerated de-leveraging, we may consider, in addition to investments in our operations, limited additional share repurchases to offset the effects of dilution related to our stock-based compensation programs. We have repatriated $3.8 billion of overseas cash for the quarter ended March 31, 2018. Available cash on hand will be used to reduce the debt funding requirements for the transaction.</w:t>
      </w:r>
    </w:p>
    <w:p>
      <w:pPr>
        <w:spacing w:after="0" w:line="178" w:lineRule="exact"/>
        <w:rPr>
          <w:sz w:val="20"/>
          <w:szCs w:val="20"/>
          <w:color w:val="auto"/>
        </w:rPr>
      </w:pPr>
    </w:p>
    <w:p>
      <w:pPr>
        <w:ind w:right="400" w:firstLine="567"/>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March 31,</w:t>
            </w:r>
          </w:p>
        </w:tc>
        <w:tc>
          <w:tcPr>
            <w:tcW w:w="50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993</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Cash generated from operating activities in the quarter ended March 31, 2018 was $540 million lower than the same period in 2017. This decrease in cash flows provided by operations is driven by an increase in working capital of $497 million, primarily due to an increase in accounts receivable of $872 million and an increase in short term contract assets of $417 million, partially offset by an increase in short term contract liabilities of $652 million. The primary drivers for the growth in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are sales growth and a reduction in factoring activity. The reduced volume of factoring activity resulted in a decrease of approximately</w:t>
      </w:r>
    </w:p>
    <w:p>
      <w:pPr>
        <w:spacing w:after="0" w:line="46"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$560 million in cash generated from operating activities in the quarter ended March 31, 2018, as compared to the prior year. This decrease does not reflect the factoring of certain aerospace receivables performed at customer request for which we are compensated by the customer for the extended payment cycle.</w:t>
      </w:r>
    </w:p>
    <w:p>
      <w:pPr>
        <w:spacing w:after="0" w:line="139" w:lineRule="exact"/>
        <w:rPr>
          <w:sz w:val="20"/>
          <w:szCs w:val="20"/>
          <w:color w:val="auto"/>
        </w:rPr>
      </w:pPr>
    </w:p>
    <w:p>
      <w:pPr>
        <w:ind w:right="180" w:firstLine="567"/>
        <w:spacing w:after="0" w:line="271" w:lineRule="auto"/>
        <w:rPr>
          <w:sz w:val="20"/>
          <w:szCs w:val="20"/>
          <w:color w:val="auto"/>
        </w:rPr>
      </w:pPr>
      <w:r>
        <w:rPr>
          <w:rFonts w:ascii="Arial" w:cs="Arial" w:eastAsia="Arial" w:hAnsi="Arial"/>
          <w:sz w:val="17"/>
          <w:szCs w:val="17"/>
          <w:color w:val="auto"/>
        </w:rPr>
        <w:t>In the quarter ended March 31, 2018, cash outflows from working capital were $972 million. Accounts receivables increased due to an increase in sales volume driven by UTC Climate, Controls &amp; Security North American HVAC Residential business and UTC Aerospace Systems and Pratt &amp; Whitney, timing, and a decrease in factoring activity on receivables , primarily at Pratt &amp; Whitney. Current contract assets increased primarily due to progress and spend on fleet maintenance contracts and government contracts at Pratt &amp; Whitney. Inventory increased in the quarter primarily driven by UTC Climate, Controls &amp; Security seasonal build and an increase in production work in process for the A320 NEO in the aerospace businesses. These increases were partially offset by increases in accounts payable and accrued liabilities, driven by the higher inventory purchasing activity and customer advances at Pratt &amp; Whitney as well as an increase in current contract liabilities driven by seasonal advanced billings and progress payments on major contracts at Otis and the timing of billings on aftermarket contracts at Pratt &amp; Whitney.</w:t>
      </w:r>
    </w:p>
    <w:p>
      <w:pPr>
        <w:spacing w:after="0" w:line="17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the quarter ended March 31, 2017, inventories increased $654 million, primarily in our aerospace businesses supporting an increase in forecasted OEM deliveries and related aftermarket demand, and at UTC Climate, Controls &amp; Security primarily driven by seasonal demand in our North American HVAC and refrigeration businesses. Accounts receivable increased primarily in our aerospace businesses, and were partially offset by increased customer advances at Pratt &amp; Whitney and Otis. Factoring activity provided an increase of approximately $500 million in cash generated from operating activities of continuing operations in the quarter ended March 31, 2017, as compared to the prior year period. This increase in factoring was driven largely by Pratt &amp; Whitney's temporary extension of contractual payment terms with certain commercial aerospace customers. Increases in accrued liabilities were driven primarily by higher accruals for taxes and interest due to the timing of payments.</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quarter ended March 31, 2018 and 2017 were approximately $37 million and $46 million, respectively. Although our domestic pension plans are approximately 102% funded on a projected benefit obligation basis as of March 31, 2018, and we are not required to make additional contributions through the end of 2028, we may elect to make discretionary contributions in 2018. We expect to make total contributions of approximately $100 million to our global defined benefit pension plans in 2018. Contributions to our global defined benefit pension plans in 2018 are expected to meet or exceed the current funding requirements.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Cash flows used in investing activities of continuing operations for the quarter ended March 31, 2018 and 2017 primarily reflect capital expenditures, cash investments in businesses, cash investments in customer financing assets, payments related to our collaboration intangible assets and contractual rights to provide product on new aircraft platforms, and settlements of derivative contracts. The increase in cash flows used in investing activities in the quarter ended March 31, 2018 compared to March 31, 2017 of $837 million primarily relates to the absence of net proceeds received of $596 million from UTC Climate, Controls &amp; Security's sale of investments in Watsco, Inc. in the quarter ended March 31, 2017 as well as an increase in customer financing asset of $94 million, and an increase in payment from settlements of derivatives contracts of $108 million.</w:t>
      </w:r>
    </w:p>
    <w:p>
      <w:pPr>
        <w:spacing w:after="0" w:line="178"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color w:val="auto"/>
        </w:rPr>
        <w:t>Capital expenditures for the quarter ended March 31, 2018 ($337 million) primarily relate to investments in production capacity at Pratt &amp; Whitney, new facilities at UTC Climate, Controls &amp; Security, as well as several small projects at UTC Aerospace Systems.</w:t>
      </w:r>
    </w:p>
    <w:p>
      <w:pPr>
        <w:spacing w:after="0" w:line="170" w:lineRule="exact"/>
        <w:rPr>
          <w:sz w:val="20"/>
          <w:szCs w:val="20"/>
          <w:color w:val="auto"/>
        </w:rPr>
      </w:pPr>
    </w:p>
    <w:p>
      <w:pPr>
        <w:ind w:right="200" w:firstLine="567"/>
        <w:spacing w:after="0" w:line="264" w:lineRule="auto"/>
        <w:rPr>
          <w:sz w:val="20"/>
          <w:szCs w:val="20"/>
          <w:color w:val="auto"/>
        </w:rPr>
      </w:pPr>
      <w:r>
        <w:rPr>
          <w:rFonts w:ascii="Arial" w:cs="Arial" w:eastAsia="Arial" w:hAnsi="Arial"/>
          <w:sz w:val="18"/>
          <w:szCs w:val="18"/>
          <w:color w:val="auto"/>
        </w:rPr>
        <w:t>Cash investments in businesses in the quarter ended March 31, 2018 ($125 million) primarily consisted of an acquisition at Pratt &amp; Whitney. We do not expect to have additional significant acquisition spend, other than the expected acquisition of Rockwell Collins. However, actual acquisition spending may vary depending upon the timing, availability and appropriate value of acquisition opportunities.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Customer financing activities were a net use of cash of $241 million, primarily driven by additional Geared Turbofan engines to support customer fleets, and $147 million for the quarter ended March 31, 2018 and 2017, respectively. While we expect that 2018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$15.1 billion at March 31, 2018 related to commercial aircraft and certain contractual rights to provide product on new aircraft platforms, of which up to $0.8 billion may be required to be disbursed during the remainder of 2018. We had commercial aerospace financing and other contractual commitments of approximately $15.3 billion at December 31, 2017.</w:t>
      </w:r>
    </w:p>
    <w:p>
      <w:pPr>
        <w:spacing w:after="0" w:line="189"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During the quarter ended March 31, 2018, our collaboration intangible assets increased by approximately $78 million, of which $72 million resulted from payments made under our 2012 agreement to acquire Rolls-Royce's collaboration interest in IAE.</w:t>
      </w:r>
    </w:p>
    <w:p>
      <w:pPr>
        <w:spacing w:after="0" w:line="170" w:lineRule="exact"/>
        <w:rPr>
          <w:sz w:val="20"/>
          <w:szCs w:val="20"/>
          <w:color w:val="auto"/>
        </w:rPr>
      </w:pPr>
    </w:p>
    <w:p>
      <w:pPr>
        <w:ind w:right="20" w:firstLine="540"/>
        <w:spacing w:after="0" w:line="293" w:lineRule="auto"/>
        <w:rPr>
          <w:sz w:val="20"/>
          <w:szCs w:val="20"/>
          <w:color w:val="auto"/>
        </w:rPr>
      </w:pPr>
      <w:r>
        <w:rPr>
          <w:rFonts w:ascii="Arial" w:cs="Arial" w:eastAsia="Arial" w:hAnsi="Arial"/>
          <w:sz w:val="16"/>
          <w:szCs w:val="16"/>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outflow of approximately $221 million and $113 million during the quarter ended March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Quarter Ended March 31,</w:t>
            </w:r>
          </w:p>
        </w:tc>
        <w:tc>
          <w:tcPr>
            <w:tcW w:w="52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Our financing activities primarily include the issuance and repayment of short term and long term debt, payment of dividends and stock repurchases. Net cash used in financing activities decreased $19 million in the quarter end March 31, 2018 compared to the quarter ended March 31, 2017 primarily due to an increase in short term borrowings of $99 million and a decrease in share repurchase activity of $908 million, offset by an increase in long term debt repayments of $954 million and an increase in dividends paid of $30 million.</w:t>
      </w:r>
    </w:p>
    <w:p>
      <w:pPr>
        <w:spacing w:after="0" w:line="187"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$0.9 billion of outstanding commercial paper at March 31, 2018.</w:t>
      </w:r>
    </w:p>
    <w:p>
      <w:pPr>
        <w:spacing w:after="0" w:line="181"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At March 31, 2018, management had remaining authority to repurchase approximately $2.3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We made cash payments of approximately $25 million to repurchase approximately 188 thousand shares of our common stock during the quarter ended March 31, 2018. In connection with the merger agreement with Rockwell Collins announced on September 4, 2017, we have suspended share repurchases, excluding activity required under our equity award programs and employee savings plans. As we continue to assess the impacts of the TCJA, future opportunities for repatriation of our non-U.S. earnings, and accelerated de-leveraging, we may consider, in addition to investments in our operations, limited additional share repurchases to offset the effects of dilution related to our stock-based compensation programs.</w:t>
      </w:r>
    </w:p>
    <w:p>
      <w:pPr>
        <w:spacing w:after="0" w:line="167" w:lineRule="exact"/>
        <w:rPr>
          <w:sz w:val="20"/>
          <w:szCs w:val="20"/>
          <w:color w:val="auto"/>
        </w:rPr>
      </w:pPr>
    </w:p>
    <w:p>
      <w:pPr>
        <w:jc w:val="both"/>
        <w:ind w:right="80" w:firstLine="567"/>
        <w:spacing w:after="0" w:line="264" w:lineRule="auto"/>
        <w:rPr>
          <w:sz w:val="20"/>
          <w:szCs w:val="20"/>
          <w:color w:val="auto"/>
        </w:rPr>
      </w:pPr>
      <w:r>
        <w:rPr>
          <w:rFonts w:ascii="Arial" w:cs="Arial" w:eastAsia="Arial" w:hAnsi="Arial"/>
          <w:sz w:val="18"/>
          <w:szCs w:val="18"/>
          <w:color w:val="auto"/>
        </w:rPr>
        <w:t>We paid dividends on common stock of $0.70 per share, totaling approximately $535 million in the aggregate for the quarter ended March 31, 2018. On February 5, 2018, the Board of Directors declared a dividend of $0.70 per share payable March 10, 2018 to shareowners of record at the close of business on February 16, 2018.</w:t>
      </w:r>
    </w:p>
    <w:p>
      <w:pPr>
        <w:spacing w:after="0" w:line="181"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In our 2017 Annual Report, incorporated by reference in our 2017 Form 10-K, we disclosed our off-balance sheet arrangements and contractual obligations. As of March 31, 2018, there have been no material changes to these off-balance sheet arrangements and contractual obligations outside the ordinary course of business.</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quarter ended March 31, 2018. For discussion of our exposure to market risk, refer to Part II, Item 7A, "Quantitative and Qualitative Disclosures About Market Risk," contained in our 2017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March 31, 2018.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March 31, 2018,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2" w:right="2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tax rates and other measures of financial performance or potential future plans, strategies or transactions of United Technologies or the combined company following United Technologies’ pending acquisition of Rockwell Collins, the anticipated benefits of the pending acquisition, including estimated synergies, the expected timing of financing and completion of the transaction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80" w:lineRule="exact"/>
        <w:rPr>
          <w:sz w:val="20"/>
          <w:szCs w:val="20"/>
          <w:color w:val="auto"/>
        </w:rPr>
      </w:pPr>
    </w:p>
    <w:p>
      <w:pPr>
        <w:ind w:left="740" w:right="60" w:hanging="327"/>
        <w:spacing w:after="0" w:line="302"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and Rockwell Collins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46" w:lineRule="exact"/>
        <w:rPr>
          <w:rFonts w:ascii="Arial" w:cs="Arial" w:eastAsia="Arial" w:hAnsi="Arial"/>
          <w:sz w:val="16"/>
          <w:szCs w:val="16"/>
          <w:color w:val="auto"/>
        </w:rPr>
      </w:pPr>
    </w:p>
    <w:p>
      <w:pPr>
        <w:ind w:left="740" w:right="14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62" w:lineRule="exact"/>
        <w:rPr>
          <w:rFonts w:ascii="Arial" w:cs="Arial" w:eastAsia="Arial" w:hAnsi="Arial"/>
          <w:sz w:val="18"/>
          <w:szCs w:val="18"/>
          <w:color w:val="auto"/>
        </w:rPr>
      </w:pPr>
    </w:p>
    <w:p>
      <w:pPr>
        <w:jc w:val="both"/>
        <w:ind w:left="740" w:right="240" w:hanging="327"/>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or restructuring activity, including the pending acquisition of Rockwell Collins, including among other things integration of acquired businesses into UTC's existing businesses and realization of synergies and opportunities for growth and innovation;</w:t>
      </w:r>
    </w:p>
    <w:p>
      <w:pPr>
        <w:spacing w:after="0" w:line="73" w:lineRule="exact"/>
        <w:rPr>
          <w:rFonts w:ascii="Arial" w:cs="Arial" w:eastAsia="Arial" w:hAnsi="Arial"/>
          <w:sz w:val="18"/>
          <w:szCs w:val="18"/>
          <w:color w:val="auto"/>
        </w:rPr>
      </w:pPr>
    </w:p>
    <w:p>
      <w:pPr>
        <w:jc w:val="both"/>
        <w:ind w:left="740" w:right="120" w:hanging="327"/>
        <w:spacing w:after="0" w:line="342"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future timing and levels of indebtedness, including indebtedness expected to be incurred by UTC in connection with the pending Rockwell Collins acquisition, and capital spending and research and development spending, including in connection with the pending Rockwell Collins acquisition;</w:t>
      </w:r>
    </w:p>
    <w:p>
      <w:pPr>
        <w:spacing w:after="0" w:line="15" w:lineRule="exact"/>
        <w:rPr>
          <w:rFonts w:ascii="Arial" w:cs="Arial" w:eastAsia="Arial" w:hAnsi="Arial"/>
          <w:sz w:val="16"/>
          <w:szCs w:val="16"/>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17" w:lineRule="exact"/>
        <w:rPr>
          <w:rFonts w:ascii="Arial" w:cs="Arial" w:eastAsia="Arial" w:hAnsi="Arial"/>
          <w:sz w:val="18"/>
          <w:szCs w:val="18"/>
          <w:color w:val="auto"/>
        </w:rPr>
      </w:pPr>
    </w:p>
    <w:p>
      <w:pPr>
        <w:ind w:left="740" w:right="400" w:hanging="327"/>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various factors, including market conditions and the level of other investing activities and uses of cash;</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17" w:lineRule="exact"/>
        <w:rPr>
          <w:rFonts w:ascii="Arial" w:cs="Arial" w:eastAsia="Arial" w:hAnsi="Arial"/>
          <w:sz w:val="18"/>
          <w:szCs w:val="18"/>
          <w:color w:val="auto"/>
        </w:rPr>
      </w:pPr>
    </w:p>
    <w:p>
      <w:pPr>
        <w:ind w:left="740" w:right="440" w:hanging="327"/>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and Rockwell Collins operate, including the effect of changes in U.S. trade policies or the U.K.'s pending withdrawal from the EU, on general market conditions, global trade policies and currency exchange rates in the near term and beyond;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69" w:lineRule="exact"/>
        <w:rPr>
          <w:sz w:val="20"/>
          <w:szCs w:val="20"/>
          <w:color w:val="auto"/>
        </w:rPr>
      </w:pPr>
    </w:p>
    <w:p>
      <w:pPr>
        <w:ind w:left="740" w:right="100" w:hanging="327"/>
        <w:spacing w:after="0" w:line="27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changes in tax (including the U.S. tax reform enacted on December 22, 2017, which is commonly referred to as the Tax Cuts and Jobs Act of 2017)</w:t>
      </w:r>
      <w:r>
        <w:rPr>
          <w:rFonts w:ascii="Arial" w:cs="Arial" w:eastAsia="Arial" w:hAnsi="Arial"/>
          <w:sz w:val="19"/>
          <w:szCs w:val="19"/>
          <w:color w:val="auto"/>
        </w:rPr>
        <w:t>,</w:t>
      </w:r>
      <w:r>
        <w:rPr>
          <w:rFonts w:ascii="Arial" w:cs="Arial" w:eastAsia="Arial" w:hAnsi="Arial"/>
          <w:sz w:val="18"/>
          <w:szCs w:val="18"/>
          <w:color w:val="auto"/>
        </w:rPr>
        <w:t xml:space="preserve"> environmental, regulatory (including among other things import/export) and other laws and regulations in the U.S. and other countries in which we and Rockwell Collins operate;</w:t>
      </w:r>
    </w:p>
    <w:p>
      <w:pPr>
        <w:spacing w:after="0" w:line="63" w:lineRule="exact"/>
        <w:rPr>
          <w:rFonts w:ascii="Arial" w:cs="Arial" w:eastAsia="Arial" w:hAnsi="Arial"/>
          <w:sz w:val="18"/>
          <w:szCs w:val="18"/>
          <w:color w:val="auto"/>
        </w:rPr>
      </w:pPr>
    </w:p>
    <w:p>
      <w:pPr>
        <w:ind w:left="740" w:right="100" w:hanging="327"/>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UTC and Rockwell Collins to receive the required regulatory approvals (and the risk that such approvals may result in the imposition of conditions that could adversely affect the combined company or the expected benefits of the merger) and to satisfy the other conditions to the closing of the pending acquisition on a timely basis or at all;</w:t>
      </w:r>
    </w:p>
    <w:p>
      <w:pPr>
        <w:spacing w:after="0" w:line="73" w:lineRule="exact"/>
        <w:rPr>
          <w:rFonts w:ascii="Arial" w:cs="Arial" w:eastAsia="Arial" w:hAnsi="Arial"/>
          <w:sz w:val="18"/>
          <w:szCs w:val="18"/>
          <w:color w:val="auto"/>
        </w:rPr>
      </w:pPr>
    </w:p>
    <w:p>
      <w:pPr>
        <w:ind w:left="740" w:right="260" w:hanging="327"/>
        <w:spacing w:after="0" w:line="34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occurrence of events that may give rise to a right of one or both of UTC or Rockwell Collins to terminate the merger agreement, including in circumstances that might require Rockwell Collins to pay a termination fee of $695 million to UTC or $50 million of expense reimbursement;</w:t>
      </w:r>
    </w:p>
    <w:p>
      <w:pPr>
        <w:spacing w:after="0" w:line="15" w:lineRule="exact"/>
        <w:rPr>
          <w:rFonts w:ascii="Arial" w:cs="Arial" w:eastAsia="Arial" w:hAnsi="Arial"/>
          <w:sz w:val="16"/>
          <w:szCs w:val="16"/>
          <w:color w:val="auto"/>
        </w:rPr>
      </w:pPr>
    </w:p>
    <w:p>
      <w:pPr>
        <w:ind w:left="740" w:right="20" w:hanging="327"/>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effects of the announcement or the completion of the merger on the market price of UTC’s and/or Rockwell Collins’ common stock and/or on their respective financial performance;</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related to Rockwell Collins and UTC being restricted in their operation of their businesses while the merger agreement is in effect;</w:t>
      </w:r>
    </w:p>
    <w:p>
      <w:pPr>
        <w:spacing w:after="0" w:line="128" w:lineRule="exact"/>
        <w:rPr>
          <w:rFonts w:ascii="Arial" w:cs="Arial" w:eastAsia="Arial" w:hAnsi="Arial"/>
          <w:sz w:val="17"/>
          <w:szCs w:val="17"/>
          <w:color w:val="auto"/>
        </w:rPr>
      </w:pPr>
    </w:p>
    <w:p>
      <w:pPr>
        <w:ind w:left="740" w:right="320" w:hanging="327"/>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relating to the value of the UTC’s shares to be issued in connection with the pending Rockwell acquisition, significant merger costs and/or unknown liabilities;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associated with third-party contracts containing consent and/or other provisions that may be triggered by the Rockwell merger agreement;</w:t>
      </w:r>
    </w:p>
    <w:p>
      <w:pPr>
        <w:spacing w:after="0" w:line="140" w:lineRule="exact"/>
        <w:rPr>
          <w:rFonts w:ascii="Arial" w:cs="Arial" w:eastAsia="Arial" w:hAnsi="Arial"/>
          <w:sz w:val="16"/>
          <w:szCs w:val="16"/>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merger-related litigation or appraisal proceedings; and</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UTC and Rockwell Collins, or the combined company, to retain and hire key personnel.</w:t>
      </w:r>
    </w:p>
    <w:p>
      <w:pPr>
        <w:spacing w:after="0" w:line="117" w:lineRule="exact"/>
        <w:rPr>
          <w:sz w:val="20"/>
          <w:szCs w:val="20"/>
          <w:color w:val="auto"/>
        </w:rPr>
      </w:pPr>
    </w:p>
    <w:p>
      <w:pPr>
        <w:ind w:left="60" w:firstLine="648"/>
        <w:spacing w:after="0" w:line="268" w:lineRule="auto"/>
        <w:rPr>
          <w:sz w:val="20"/>
          <w:szCs w:val="20"/>
          <w:color w:val="auto"/>
        </w:rPr>
      </w:pPr>
      <w:r>
        <w:rPr>
          <w:rFonts w:ascii="Arial" w:cs="Arial" w:eastAsia="Arial" w:hAnsi="Arial"/>
          <w:sz w:val="17"/>
          <w:szCs w:val="17"/>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15: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2017 Annual Report and 2017 Form 10-K. Additional important information as to these factors is included in our 2017 Annual Report in the section titled "Management's Discussion and Analysis of Financial Condition and Results of Operations" under the headings "Restructuring Costs," "Environmental Matters" and "Governmental Matters", in our 2017 Form 10-K in the "Business" section under the headings "General," "Description of Business by Segment" and "Other Matters Relating to Our Business as a Whole" and in our Form S-4 Registration Statement (Registration No. 333-220883)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117"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As previously disclosed, UTC Fire &amp; Security Americas Corporation, Inc. (UTCFS) was named as a defendant in numerous putative class actions that were filed on behalf of purported classes of persons who alleged that third-party entities placed "robocalls" and/or placed calls to numbers listed on the "Do Not Call Registry" on behalf of UTCFS in contravention of the Telephone Consumer Protection Act (TCPA). In each putative class action suit, plaintiffs sought injunctive relief and monetary damages. Each violation under the TCPA provides for $500 in statutory damages or up to $1,500 for any willful violation. In August 2016, UTCFS moved for summary judgment in the Northern District of West Virginia, the court in which all of the pending TCPA cases has been consolidated, arguing that the third parties who placed the calls in alleged violation of the TCPA were not acting as UTCFS’ agents and, therefore, UTCFS could not be vicariously liable for those calls under the TCPA. On December 22, 2016, the district court granted UTCFS’ summary judgment motion and dismissed the claims against UTCFS. The plaintiffs appealed the decision on February 14, 2017. On March 14, 2018, the United States Court of Appeals for the Fourth Circuit affirmed the district court's decision. We believe that this matter is now concluded.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DOJ/SEC Investigations</w:t>
      </w:r>
    </w:p>
    <w:p>
      <w:pPr>
        <w:spacing w:after="0" w:line="225" w:lineRule="exact"/>
        <w:rPr>
          <w:sz w:val="20"/>
          <w:szCs w:val="20"/>
          <w:color w:val="auto"/>
        </w:rPr>
      </w:pPr>
    </w:p>
    <w:p>
      <w:pPr>
        <w:ind w:right="220" w:firstLine="392"/>
        <w:spacing w:after="0" w:line="290" w:lineRule="auto"/>
        <w:rPr>
          <w:sz w:val="20"/>
          <w:szCs w:val="20"/>
          <w:color w:val="auto"/>
        </w:rPr>
      </w:pPr>
      <w:r>
        <w:rPr>
          <w:rFonts w:ascii="Arial" w:cs="Arial" w:eastAsia="Arial" w:hAnsi="Arial"/>
          <w:sz w:val="16"/>
          <w:szCs w:val="16"/>
          <w:color w:val="auto"/>
        </w:rPr>
        <w:t>As previously disclosed, in December 2013 and January 2014, UTC made voluntary disclosures to the United States Department of Justice (DOJ), the Securities and Exchange Commission (SEC) Division of Enforcement and the United Kingdom’s Serious Fraud Office to report the status of its internal investigation regarding a non-employee sales representative retained by United Technologies International Operations, Inc. (UTIO) and IAE for the sale of Pratt &amp; Whitney and IAE engines and aftermarket services, respectively, in China. On April 7, 2014, the SEC notified UTC that it was conducting a formal investigation and issued a subpoena to UTC. The SEC issued a second subpoena on March 9, 2015 seeking documents related to internal allegations of violations of anti-bribery laws from UTC’s aerospace and commercial businesses, including but not limited to Otis businesses in China. On March 7, 2018, the DOJ notified UTC that it had decided to close its investigation of this matter. We have engaged in discussions with the SEC staff to resolve this matter. Because these discussions are ongoing, we cannot predict the outcome or the consequences thereof at this time.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Contingent Liabilities, for discussion regarding other legal proceedings.</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2017 Form 10-K.</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2017 Form 10-K.</w:t>
      </w:r>
    </w:p>
    <w:p>
      <w:pPr>
        <w:spacing w:after="0" w:line="2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March 31, 2018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136.50</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132.52</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128.84</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132.63</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October 14, 2015, our Board of Directors authorized a share repurchase program for up to $12 billion of our common stock, replacing the program announced on July 19, 2015. At March 31, 2018, the maximum dollar value of shares that may yet be purchased under this current program was approximately $2,269 million. Under this program, shares may be purchased on the open market, in privately negotiated transactions, under accelerated share repurchase (ASR) programs and under plans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No shares were reacquired in transactions outside the program during the quarter ended March 31, 2018.</w:t>
      </w:r>
    </w:p>
    <w:p>
      <w:pPr>
        <w:spacing w:after="0" w:line="18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On September 4, 2017, we announced that we had entered into a merger agreement with Rockwell Collins, under which we will acquire Rockwell Collins. To manage the cash flow and liquidity impacts of these actions, we have suspended share repurchases, excluding activity required under our equity award programs and employee savings plans.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0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80" w:hanging="1010"/>
        <w:spacing w:after="0"/>
        <w:tabs>
          <w:tab w:leader="none" w:pos="1180" w:val="left"/>
        </w:tabs>
        <w:numPr>
          <w:ilvl w:val="0"/>
          <w:numId w:val="16"/>
        </w:numPr>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Statement re: computation of ratio of earnings to fixed charges.*</w:t>
        </w:r>
      </w:hyperlink>
    </w:p>
    <w:p>
      <w:pPr>
        <w:spacing w:after="0" w:line="185" w:lineRule="exact"/>
        <w:rPr>
          <w:sz w:val="20"/>
          <w:szCs w:val="20"/>
          <w:color w:val="auto"/>
        </w:rPr>
      </w:pPr>
    </w:p>
    <w:p>
      <w:pPr>
        <w:ind w:left="1180" w:hanging="1010"/>
        <w:spacing w:after="0"/>
        <w:tabs>
          <w:tab w:leader="none" w:pos="1180" w:val="left"/>
        </w:tabs>
        <w:numPr>
          <w:ilvl w:val="0"/>
          <w:numId w:val="17"/>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Letter re: unaudited interim financial information.*</w:t>
        </w:r>
      </w:hyperlink>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31.1</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31.2</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31.3</w:t>
            </w:r>
          </w:p>
        </w:tc>
        <w:tc>
          <w:tcPr>
            <w:tcW w:w="2940" w:type="dxa"/>
            <w:vAlign w:val="bottom"/>
            <w:tcBorders>
              <w:bottom w:val="single" w:sz="8" w:color="0000FF"/>
            </w:tcBorders>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Rule 13a-14(a)/15d-14(a) Certification.*</w:t>
              </w:r>
            </w:hyperlink>
          </w:p>
        </w:tc>
      </w:tr>
    </w:tbl>
    <w:p>
      <w:pPr>
        <w:spacing w:after="0" w:line="188" w:lineRule="exact"/>
        <w:rPr>
          <w:sz w:val="20"/>
          <w:szCs w:val="20"/>
          <w:color w:val="auto"/>
        </w:rPr>
      </w:pPr>
    </w:p>
    <w:p>
      <w:pPr>
        <w:ind w:left="1180" w:hanging="1010"/>
        <w:spacing w:after="0"/>
        <w:tabs>
          <w:tab w:leader="none" w:pos="1180" w:val="left"/>
        </w:tabs>
        <w:numPr>
          <w:ilvl w:val="0"/>
          <w:numId w:val="18"/>
        </w:numPr>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Section 1350 Certifications.*</w:t>
        </w:r>
      </w:hyperlink>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utx-20180331.xml)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utx-20180331.xsd)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utx-20180331_cal.xml)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utx-20180331_def.xml)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utx-20180331_lab.xml)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utx-20180331_pre.xml)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Operations for the quarters ended March 31, 2018 and 2017, (ii) Condensed Consolidated Statements of Comprehensive Income for the quarters ended March 31, 2018 and 2017, (iii) Condensed Consolidated Balance Sheets as of March 31, 2018 and December 31, 2017, (iv) Condensed Consolidated Statements of Cash Flows for the quarters ended March 31, 2018 and 2017, and (v) Notes to Condensed Consolidated Financial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April 27,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122" w:right="339" w:bottom="1440" w:gutter="0" w:footer="0" w:header="0"/>
        </w:sectPr>
      </w:pPr>
    </w:p>
    <w:bookmarkStart w:id="48" w:name="page49"/>
    <w:bookmarkEnd w:id="48"/>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Quarter Ended March 31,</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right="120" w:hanging="332"/>
        <w:spacing w:after="0" w:line="232"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$9 million and $7 million for the quarter ended March 31, 2018 and 2017, respectively. The ratio of earnings to fixed charges would have been 7.49 and 8.56 for the quarter ended March 31, 2018 and 2017,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April 27,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aware that our report dated April 27, 2018 on our review of interim financial information of United Technologies Corporation, which appears in this Quarterly Report on Form 10-Q, is incorporated by reference in the Registration Statements on Form S-3 (No. 333-211035) and S-8 (Nos. 333-207193, 333-197704, 333-183123, 333-177517, 333-175781, 333-150643, 333-125293, 333-110020, 333-100724, 333-100723, 333-100718 and 033-51385) of 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27, 2018</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27,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April 27, 2018</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14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Quarterly Report on Form 10-Q for the quarter ended March 31, 2018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2018</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2018</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2018</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1)"/>
      <w:numFmt w:val="lowerRoman"/>
      <w:start w:val="2"/>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decimal"/>
      <w:start w:val="15"/>
    </w:lvl>
  </w:abstractNum>
  <w:abstractNum w:abstractNumId="17">
    <w:nsid w:val="628C895D"/>
    <w:multiLevelType w:val="hybridMultilevel"/>
    <w:lvl w:ilvl="0">
      <w:lvlJc w:val="left"/>
      <w:lvlText w:val="%1"/>
      <w:numFmt w:val="decimal"/>
      <w:start w:val="32"/>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bullet"/>
      <w:start w:val="1"/>
    </w:lvl>
  </w:abstractNum>
  <w:abstractNum w:abstractNumId="20">
    <w:nsid w:val="2443A858"/>
    <w:multiLevelType w:val="hybridMultilevel"/>
    <w:lvl w:ilvl="0">
      <w:lvlJc w:val="left"/>
      <w:lvlText w:val="2"/>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2019-12-28T22:59:18Z</dcterms:created>
  <dcterms:modified xsi:type="dcterms:W3CDTF">2019-12-28T22:59:18Z</dcterms:modified>
</cp:coreProperties>
</file>