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7"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502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r>
        <w:trPr>
          <w:trHeight w:val="380"/>
        </w:trPr>
        <w:tc>
          <w:tcPr>
            <w:tcW w:w="6400" w:type="dxa"/>
            <w:vAlign w:val="bottom"/>
            <w:gridSpan w:val="6"/>
          </w:tcPr>
          <w:p>
            <w:pPr>
              <w:jc w:val="center"/>
              <w:ind w:left="2865"/>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6400" w:type="dxa"/>
            <w:vAlign w:val="bottom"/>
            <w:gridSpan w:val="6"/>
          </w:tcPr>
          <w:p>
            <w:pPr>
              <w:jc w:val="center"/>
              <w:ind w:left="2825"/>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45"/>
        </w:trPr>
        <w:tc>
          <w:tcPr>
            <w:tcW w:w="8720" w:type="dxa"/>
            <w:vAlign w:val="bottom"/>
            <w:gridSpan w:val="8"/>
          </w:tcPr>
          <w:p>
            <w:pPr>
              <w:jc w:val="center"/>
              <w:ind w:left="565"/>
              <w:spacing w:after="0"/>
              <w:rPr>
                <w:sz w:val="20"/>
                <w:szCs w:val="20"/>
                <w:color w:val="auto"/>
              </w:rPr>
            </w:pPr>
            <w:r>
              <w:rPr>
                <w:rFonts w:ascii="Times New Roman" w:cs="Times New Roman" w:eastAsia="Times New Roman" w:hAnsi="Times New Roman"/>
                <w:sz w:val="43"/>
                <w:szCs w:val="43"/>
                <w:b w:val="1"/>
                <w:bCs w:val="1"/>
                <w:color w:val="auto"/>
                <w:w w:val="99"/>
              </w:rPr>
              <w:t>RTX CORPORATION</w:t>
            </w:r>
          </w:p>
        </w:tc>
      </w:tr>
      <w:tr>
        <w:trPr>
          <w:trHeight w:val="237"/>
        </w:trPr>
        <w:tc>
          <w:tcPr>
            <w:tcW w:w="6400" w:type="dxa"/>
            <w:vAlign w:val="bottom"/>
            <w:gridSpan w:val="6"/>
          </w:tcPr>
          <w:p>
            <w:pPr>
              <w:jc w:val="center"/>
              <w:ind w:left="288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8"/>
        </w:trPr>
        <w:tc>
          <w:tcPr>
            <w:tcW w:w="5980" w:type="dxa"/>
            <w:vAlign w:val="bottom"/>
            <w:gridSpan w:val="5"/>
          </w:tcPr>
          <w:p>
            <w:pPr>
              <w:jc w:val="center"/>
              <w:ind w:left="3265"/>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5"/>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90"/>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1"/>
        </w:trPr>
        <w:tc>
          <w:tcPr>
            <w:tcW w:w="41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22209</w:t>
            </w:r>
          </w:p>
        </w:tc>
      </w:tr>
      <w:tr>
        <w:trPr>
          <w:trHeight w:val="190"/>
        </w:trPr>
        <w:tc>
          <w:tcPr>
            <w:tcW w:w="544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6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and “emerging growth company” in Rule 12b-2 of the Exchange Act.</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2025, there were 1,335,953,770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2025</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560" w:type="dxa"/>
            <w:vAlign w:val="bottom"/>
            <w:gridSpan w:val="11"/>
          </w:tcPr>
          <w:p>
            <w:pPr>
              <w:spacing w:after="0"/>
              <w:rPr>
                <w:sz w:val="19"/>
                <w:szCs w:val="19"/>
                <w:color w:val="auto"/>
              </w:rPr>
            </w:pPr>
          </w:p>
        </w:tc>
        <w:tc>
          <w:tcPr>
            <w:tcW w:w="50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9"/>
                <w:szCs w:val="19"/>
                <w:color w:val="auto"/>
              </w:rPr>
            </w:pPr>
          </w:p>
        </w:tc>
      </w:tr>
      <w:tr>
        <w:trPr>
          <w:trHeight w:val="263"/>
        </w:trPr>
        <w:tc>
          <w:tcPr>
            <w:tcW w:w="140" w:type="dxa"/>
            <w:vAlign w:val="bottom"/>
          </w:tcPr>
          <w:p>
            <w:pPr>
              <w:spacing w:after="0"/>
              <w:rPr>
                <w:sz w:val="22"/>
                <w:szCs w:val="22"/>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00" w:type="dxa"/>
            <w:vAlign w:val="bottom"/>
            <w:gridSpan w:val="10"/>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quarters ended March 31, 2025 and 2024</w:t>
            </w:r>
          </w:p>
        </w:tc>
        <w:tc>
          <w:tcPr>
            <w:tcW w:w="3100" w:type="dxa"/>
            <w:vAlign w:val="bottom"/>
            <w:gridSpan w:val="4"/>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Comprehensive Income for the quarters ended March 31, 2025 and 2024</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 at March 31, 2025 and December 31, 2024</w:t>
            </w:r>
          </w:p>
        </w:tc>
        <w:tc>
          <w:tcPr>
            <w:tcW w:w="218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quarters ended March 31, 2025 and 2024</w:t>
            </w:r>
          </w:p>
        </w:tc>
        <w:tc>
          <w:tcPr>
            <w:tcW w:w="3040" w:type="dxa"/>
            <w:vAlign w:val="bottom"/>
            <w:gridSpan w:val="3"/>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2"/>
                <w:szCs w:val="22"/>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Changes in Equity for the quarters ended March 31, 2025 and 2024</w:t>
            </w:r>
          </w:p>
        </w:tc>
        <w:tc>
          <w:tcPr>
            <w:tcW w:w="2560" w:type="dxa"/>
            <w:vAlign w:val="bottom"/>
            <w:gridSpan w:val="2"/>
          </w:tcPr>
          <w:p>
            <w:pPr>
              <w:spacing w:after="0"/>
              <w:rPr>
                <w:sz w:val="22"/>
                <w:szCs w:val="22"/>
                <w:color w:val="auto"/>
              </w:rPr>
            </w:pPr>
          </w:p>
        </w:tc>
        <w:tc>
          <w:tcPr>
            <w:tcW w:w="5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r>
      <w:tr>
        <w:trPr>
          <w:trHeight w:val="264"/>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0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4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120" w:type="dxa"/>
            <w:vAlign w:val="bottom"/>
            <w:gridSpan w:val="2"/>
          </w:tcPr>
          <w:p>
            <w:pPr>
              <w:spacing w:after="0"/>
              <w:rPr>
                <w:sz w:val="22"/>
                <w:szCs w:val="22"/>
                <w:color w:val="auto"/>
              </w:rPr>
            </w:pPr>
          </w:p>
        </w:tc>
        <w:tc>
          <w:tcPr>
            <w:tcW w:w="3400" w:type="dxa"/>
            <w:vAlign w:val="bottom"/>
            <w:gridSpan w:val="5"/>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60" w:type="dxa"/>
            <w:vAlign w:val="bottom"/>
            <w:gridSpan w:val="6"/>
          </w:tcPr>
          <w:p>
            <w:pPr>
              <w:spacing w:after="0"/>
              <w:rPr>
                <w:sz w:val="22"/>
                <w:szCs w:val="22"/>
                <w:color w:val="auto"/>
              </w:rPr>
            </w:pPr>
          </w:p>
        </w:tc>
        <w:tc>
          <w:tcPr>
            <w:tcW w:w="5520" w:type="dxa"/>
            <w:vAlign w:val="bottom"/>
            <w:gridSpan w:val="7"/>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Item 1. Legal Proceedings</w:t>
            </w:r>
          </w:p>
        </w:tc>
        <w:tc>
          <w:tcPr>
            <w:tcW w:w="680" w:type="dxa"/>
            <w:vAlign w:val="bottom"/>
            <w:gridSpan w:val="2"/>
          </w:tcPr>
          <w:p>
            <w:pPr>
              <w:spacing w:after="0"/>
              <w:rPr>
                <w:sz w:val="22"/>
                <w:szCs w:val="22"/>
                <w:color w:val="auto"/>
              </w:rPr>
            </w:pPr>
          </w:p>
        </w:tc>
        <w:tc>
          <w:tcPr>
            <w:tcW w:w="7880" w:type="dxa"/>
            <w:vAlign w:val="bottom"/>
            <w:gridSpan w:val="12"/>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60" w:type="dxa"/>
            <w:vAlign w:val="bottom"/>
          </w:tcPr>
          <w:p>
            <w:pPr>
              <w:spacing w:after="0"/>
              <w:rPr>
                <w:sz w:val="22"/>
                <w:szCs w:val="22"/>
                <w:color w:val="auto"/>
              </w:rPr>
            </w:pPr>
          </w:p>
        </w:tc>
        <w:tc>
          <w:tcPr>
            <w:tcW w:w="8560" w:type="dxa"/>
            <w:vAlign w:val="bottom"/>
            <w:gridSpan w:val="14"/>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0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ind w:left="12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560" w:type="dxa"/>
            <w:vAlign w:val="bottom"/>
            <w:gridSpan w:val="14"/>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6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2"/>
                <w:szCs w:val="22"/>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Products sales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14,591</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Services sales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5,715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5,002</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20,306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19,305</w:t>
            </w:r>
          </w:p>
        </w:tc>
        <w:tc>
          <w:tcPr>
            <w:tcW w:w="0" w:type="dxa"/>
            <w:vAlign w:val="bottom"/>
          </w:tcPr>
          <w:p>
            <w:pPr>
              <w:spacing w:after="0"/>
              <w:rPr>
                <w:sz w:val="1"/>
                <w:szCs w:val="1"/>
                <w:color w:val="auto"/>
              </w:rPr>
            </w:pPr>
          </w:p>
        </w:tc>
      </w:tr>
      <w:tr>
        <w:trPr>
          <w:trHeight w:val="225"/>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sales - products</w:t>
            </w: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12,283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12,216</w:t>
            </w:r>
          </w:p>
        </w:tc>
        <w:tc>
          <w:tcPr>
            <w:tcW w:w="0" w:type="dxa"/>
            <w:vAlign w:val="bottom"/>
          </w:tcPr>
          <w:p>
            <w:pPr>
              <w:spacing w:after="0"/>
              <w:rPr>
                <w:sz w:val="1"/>
                <w:szCs w:val="1"/>
                <w:color w:val="auto"/>
              </w:rPr>
            </w:pPr>
          </w:p>
        </w:tc>
      </w:tr>
      <w:tr>
        <w:trPr>
          <w:trHeight w:val="231"/>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sales - services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3,907</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w:t>
            </w:r>
          </w:p>
        </w:tc>
        <w:tc>
          <w:tcPr>
            <w:tcW w:w="0" w:type="dxa"/>
            <w:vAlign w:val="bottom"/>
          </w:tcPr>
          <w:p>
            <w:pPr>
              <w:spacing w:after="0"/>
              <w:rPr>
                <w:sz w:val="1"/>
                <w:szCs w:val="1"/>
                <w:color w:val="auto"/>
              </w:rPr>
            </w:pPr>
          </w:p>
        </w:tc>
      </w:tr>
      <w:tr>
        <w:trPr>
          <w:trHeight w:val="228"/>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1,448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0" w:type="dxa"/>
            <w:vAlign w:val="bottom"/>
          </w:tcPr>
          <w:p>
            <w:pPr>
              <w:spacing w:after="0"/>
              <w:rPr>
                <w:sz w:val="1"/>
                <w:szCs w:val="1"/>
                <w:color w:val="auto"/>
              </w:rPr>
            </w:pP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18,275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17,807</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4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2,035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0" w:type="dxa"/>
            <w:vAlign w:val="bottom"/>
          </w:tcPr>
          <w:p>
            <w:pPr>
              <w:spacing w:after="0"/>
              <w:rPr>
                <w:sz w:val="1"/>
                <w:szCs w:val="1"/>
                <w:color w:val="auto"/>
              </w:rPr>
            </w:pPr>
          </w:p>
        </w:tc>
      </w:tr>
      <w:tr>
        <w:trPr>
          <w:trHeight w:val="231"/>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443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21"/>
        </w:trPr>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5"/>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1,958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0" w:type="dxa"/>
            <w:vAlign w:val="bottom"/>
          </w:tcPr>
          <w:p>
            <w:pPr>
              <w:spacing w:after="0"/>
              <w:rPr>
                <w:sz w:val="1"/>
                <w:szCs w:val="1"/>
                <w:color w:val="auto"/>
              </w:rPr>
            </w:pPr>
          </w:p>
        </w:tc>
      </w:tr>
      <w:tr>
        <w:trPr>
          <w:trHeight w:val="228"/>
        </w:trPr>
        <w:tc>
          <w:tcPr>
            <w:tcW w:w="8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5"/>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1,625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0" w:type="dxa"/>
            <w:vAlign w:val="bottom"/>
          </w:tcPr>
          <w:p>
            <w:pPr>
              <w:spacing w:after="0"/>
              <w:rPr>
                <w:sz w:val="1"/>
                <w:szCs w:val="1"/>
                <w:color w:val="auto"/>
              </w:rPr>
            </w:pPr>
          </w:p>
        </w:tc>
      </w:tr>
      <w:tr>
        <w:trPr>
          <w:trHeight w:val="228"/>
        </w:trPr>
        <w:tc>
          <w:tcPr>
            <w:tcW w:w="8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Less: Noncontrolling interest in subsidiaries’ earnings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2"/>
        </w:trPr>
        <w:tc>
          <w:tcPr>
            <w:tcW w:w="8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1,535</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w:t>
            </w: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shareowners: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1.15</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1.14</w:t>
            </w: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1,625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4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2,173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2,083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4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11,426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10,976</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assets, net</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15,241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14,570</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Inventory, net</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13,618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12,768</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current</w:t>
            </w:r>
          </w:p>
        </w:tc>
        <w:tc>
          <w:tcPr>
            <w:tcW w:w="18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7,474</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7,241</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52,916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51,133</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2,135</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33,348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32,783</w:t>
            </w:r>
          </w:p>
        </w:tc>
      </w:tr>
      <w:tr>
        <w:trPr>
          <w:trHeight w:val="229"/>
        </w:trPr>
        <w:tc>
          <w:tcPr>
            <w:tcW w:w="62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(17,213)</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(16,694)</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Fixed assets, net</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16,135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1,899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53,045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33,116</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33,443</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5,618</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5,297</w:t>
            </w:r>
          </w:p>
        </w:tc>
      </w:tr>
      <w:tr>
        <w:trPr>
          <w:trHeight w:val="232"/>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1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164,864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162,861</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borrowings</w:t>
            </w:r>
          </w:p>
        </w:tc>
        <w:tc>
          <w:tcPr>
            <w:tcW w:w="1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13,444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12,897</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1,867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15,219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14,831</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liabilities</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19,038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18,616</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8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2,844</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52,624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51,499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38,244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38,726</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8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1,646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2,060</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6,946</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6,942</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8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101,520</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100,903</w:t>
            </w:r>
          </w:p>
        </w:tc>
      </w:tr>
      <w:tr>
        <w:trPr>
          <w:trHeight w:val="221"/>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37,515</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37,434</w:t>
            </w:r>
          </w:p>
        </w:tc>
      </w:tr>
      <w:tr>
        <w:trPr>
          <w:trHeight w:val="228"/>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w:t>
            </w:r>
          </w:p>
        </w:tc>
        <w:tc>
          <w:tcPr>
            <w:tcW w:w="18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(27,069)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(27,112)</w:t>
            </w:r>
          </w:p>
        </w:tc>
      </w:tr>
      <w:tr>
        <w:trPr>
          <w:trHeight w:val="231"/>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8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54,277</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53,589</w:t>
            </w:r>
          </w:p>
        </w:tc>
      </w:tr>
      <w:tr>
        <w:trPr>
          <w:trHeight w:val="228"/>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(3,207)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(3,755)</w:t>
            </w:r>
          </w:p>
        </w:tc>
      </w:tr>
      <w:tr>
        <w:trPr>
          <w:trHeight w:val="225"/>
        </w:trPr>
        <w:tc>
          <w:tcPr>
            <w:tcW w:w="6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61,516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60,156</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1,791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equity</w:t>
            </w:r>
          </w:p>
        </w:tc>
        <w:tc>
          <w:tcPr>
            <w:tcW w:w="18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63,307</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61,923</w:t>
            </w:r>
          </w:p>
        </w:tc>
      </w:tr>
      <w:tr>
        <w:trPr>
          <w:trHeight w:val="232"/>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164,864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162,861</w:t>
            </w: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1,625</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flows provided by 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1,052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Gain on sale of business, net of transaction costs (Note 2)</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26"/>
        </w:trPr>
        <w:tc>
          <w:tcPr>
            <w:tcW w:w="8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1,305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other intangible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from settlements of derivative contracts,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other short-term borrowings, net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(185)</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used in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(1,056)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5,606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6,626</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5,193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 current and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36</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5,157</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61,923</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61,410</w:t>
            </w:r>
          </w:p>
        </w:tc>
        <w:tc>
          <w:tcPr>
            <w:tcW w:w="0" w:type="dxa"/>
            <w:vAlign w:val="bottom"/>
          </w:tcPr>
          <w:p>
            <w:pPr>
              <w:spacing w:after="0"/>
              <w:rPr>
                <w:sz w:val="1"/>
                <w:szCs w:val="1"/>
                <w:color w:val="auto"/>
              </w:rPr>
            </w:pPr>
          </w:p>
        </w:tc>
      </w:tr>
      <w:tr>
        <w:trPr>
          <w:trHeight w:val="223"/>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37,434</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37,055</w:t>
            </w:r>
          </w:p>
        </w:tc>
        <w:tc>
          <w:tcPr>
            <w:tcW w:w="0" w:type="dxa"/>
            <w:vAlign w:val="bottom"/>
          </w:tcPr>
          <w:p>
            <w:pPr>
              <w:spacing w:after="0"/>
              <w:rPr>
                <w:sz w:val="1"/>
                <w:szCs w:val="1"/>
                <w:color w:val="auto"/>
              </w:rPr>
            </w:pPr>
          </w:p>
        </w:tc>
      </w:tr>
      <w:tr>
        <w:trPr>
          <w:trHeight w:val="228"/>
        </w:trPr>
        <w:tc>
          <w:tcPr>
            <w:tcW w:w="8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37,515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37,108</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(27,112)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(26,977)</w:t>
            </w: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(27,069)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(27,029)</w:t>
            </w:r>
          </w:p>
        </w:tc>
        <w:tc>
          <w:tcPr>
            <w:tcW w:w="0" w:type="dxa"/>
            <w:vAlign w:val="bottom"/>
          </w:tcPr>
          <w:p>
            <w:pPr>
              <w:spacing w:after="0"/>
              <w:rPr>
                <w:sz w:val="1"/>
                <w:szCs w:val="1"/>
                <w:color w:val="auto"/>
              </w:rPr>
            </w:pPr>
          </w:p>
        </w:tc>
      </w:tr>
      <w:tr>
        <w:trPr>
          <w:trHeight w:val="223"/>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53,589</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52,154</w:t>
            </w:r>
          </w:p>
        </w:tc>
        <w:tc>
          <w:tcPr>
            <w:tcW w:w="0" w:type="dxa"/>
            <w:vAlign w:val="bottom"/>
          </w:tcPr>
          <w:p>
            <w:pPr>
              <w:spacing w:after="0"/>
              <w:rPr>
                <w:sz w:val="1"/>
                <w:szCs w:val="1"/>
                <w:color w:val="auto"/>
              </w:rPr>
            </w:pPr>
          </w:p>
        </w:tc>
      </w:tr>
      <w:tr>
        <w:trPr>
          <w:trHeight w:val="228"/>
        </w:trPr>
        <w:tc>
          <w:tcPr>
            <w:tcW w:w="8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1,535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w:t>
            </w: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28"/>
        </w:trPr>
        <w:tc>
          <w:tcPr>
            <w:tcW w:w="8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54,277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53,052</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(3,755)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(3,207)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(2,635)</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1,767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90</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8"/>
        </w:trPr>
        <w:tc>
          <w:tcPr>
            <w:tcW w:w="8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1,791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0" w:type="dxa"/>
            <w:vAlign w:val="bottom"/>
          </w:tcPr>
          <w:p>
            <w:pPr>
              <w:spacing w:after="0"/>
              <w:rPr>
                <w:sz w:val="1"/>
                <w:szCs w:val="1"/>
                <w:color w:val="auto"/>
              </w:rPr>
            </w:pPr>
          </w:p>
        </w:tc>
      </w:tr>
      <w:tr>
        <w:trPr>
          <w:trHeight w:val="232"/>
        </w:trPr>
        <w:tc>
          <w:tcPr>
            <w:tcW w:w="8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March 31</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63,307</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62,100</w:t>
            </w:r>
          </w:p>
        </w:tc>
        <w:tc>
          <w:tcPr>
            <w:tcW w:w="0" w:type="dxa"/>
            <w:vAlign w:val="bottom"/>
          </w:tcPr>
          <w:p>
            <w:pPr>
              <w:spacing w:after="0"/>
              <w:rPr>
                <w:sz w:val="1"/>
                <w:szCs w:val="1"/>
                <w:color w:val="auto"/>
              </w:rPr>
            </w:pPr>
          </w:p>
        </w:tc>
      </w:tr>
      <w:tr>
        <w:trPr>
          <w:trHeight w:val="228"/>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2,903</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0" w:type="dxa"/>
            <w:vAlign w:val="bottom"/>
          </w:tcPr>
          <w:p>
            <w:pPr>
              <w:spacing w:after="0"/>
              <w:rPr>
                <w:sz w:val="1"/>
                <w:szCs w:val="1"/>
                <w:color w:val="auto"/>
              </w:rPr>
            </w:pPr>
          </w:p>
        </w:tc>
      </w:tr>
      <w:tr>
        <w:trPr>
          <w:trHeight w:val="228"/>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shares reissued related to 401(k) matching contributions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1,323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0.630</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March 31, 2025 and for the quarters ended March 31, 2025 and 2024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2024 Annual Report on Form 10-K.</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 References to “Raytheon Company” mean Raytheon Company, which became a wholly owned subsidiary of RTX on April 3, 2020 during an all-stock merger transaction between United Technologies Corporation and Raytheon Company (the surviving company of which is RTX Corporation).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reclassified certain immaterial prior period amounts within our Condensed Consolidated Statement of Cash Flows and Condensed Consolidated Statement of Changes in Equity related to our share-based 401(k) matching contributions to conform to our current period presentation.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calendar quarter end. Throughout this Form 10-Q, when we refer to the quarters ended March 31, 2025 and 2024 with respect to Raytheon, we are referring to their March 30, 2025 and March 31, 2024 fiscal quarter ends,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and Dispositions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On March 29, 2024, we completed the sale of our Cybersecurity, Intelligence and Services (CIS) business within our Raytheon segment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of approximately $1.3 billion in cash, resulting in an aggregate pre-tax gain, net of transaction and other related costs, of $0.4 billion ($0.2 billion after tax), primarily recognized in Other income, net within the Condensed Consolidated Statement of Operations.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20, 2023, we entered into a definitive agreement to sell the actuation and flight control business within our Collins segment to Safran S.A. for gross proceeds of approximately $1.8 billion. During the fourth quarter of 2024, as a result of progress towards regulatory approvals, held for sale criteria was met. At March 31, 2025, assets of approximately $1.6 billion and liabilities of approximately $0.6 billion are held for sale at fair value less cost to sell. Held for sale assets primarily include $0.7 billion of goodwill and intangible assets presented in Other assets and $0.3 billion of inventory presented in Other assets, current, within the Condensed Consolidated Balance Sheet. Held for sale liabilities primarily include $0.4 billion of contract liabilities and other accrued liabilities presented in Other accrued liabilities within the Condensed Consolidated Balance Sheet. The closing of this transaction is subject to regulatory approvals and other customary closing conditions. This disposition does not qualify for presentation as discontinued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quarter ended March 31, 2025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30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40" w:type="dxa"/>
            <w:vAlign w:val="bottom"/>
          </w:tcPr>
          <w:p>
            <w:pPr>
              <w:spacing w:after="0"/>
              <w:rPr>
                <w:sz w:val="13"/>
                <w:szCs w:val="13"/>
                <w:color w:val="auto"/>
              </w:rPr>
            </w:pP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Balance as of March 31,</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32,223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32,479</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tcPr>
          <w:p>
            <w:pPr>
              <w:spacing w:after="0"/>
              <w:rPr>
                <w:sz w:val="19"/>
                <w:szCs w:val="19"/>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18,986</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18,986</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52,772</w:t>
            </w:r>
          </w:p>
        </w:tc>
        <w:tc>
          <w:tcPr>
            <w:tcW w:w="300" w:type="dxa"/>
            <w:vAlign w:val="bottom"/>
          </w:tcPr>
          <w:p>
            <w:pPr>
              <w:spacing w:after="0"/>
              <w:rPr>
                <w:sz w:val="19"/>
                <w:szCs w:val="19"/>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256</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53,028</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52,789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256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31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6,159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3,793</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3,692</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1,197</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29,440</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29,388</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40,633</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40,436</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8,474</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8,463</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49,107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(15,991)</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48,899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ended March 31, 2025 and 2024 was $501 million and $526 million, respectively. The following is the expected amortization of intangible assets for the remainder of 2025 through 2030: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Pr>
          <w:p>
            <w:pPr>
              <w:spacing w:after="0"/>
              <w:rPr>
                <w:sz w:val="16"/>
                <w:szCs w:val="16"/>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2029</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2030</w:t>
            </w:r>
          </w:p>
        </w:tc>
        <w:tc>
          <w:tcPr>
            <w:tcW w:w="0" w:type="dxa"/>
            <w:vAlign w:val="bottom"/>
          </w:tcPr>
          <w:p>
            <w:pPr>
              <w:spacing w:after="0"/>
              <w:rPr>
                <w:sz w:val="1"/>
                <w:szCs w:val="1"/>
                <w:color w:val="auto"/>
              </w:rPr>
            </w:pPr>
          </w:p>
        </w:tc>
      </w:tr>
      <w:tr>
        <w:trPr>
          <w:trHeight w:val="23"/>
        </w:trPr>
        <w:tc>
          <w:tcPr>
            <w:tcW w:w="4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2,005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1,894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513"/>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5"/>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1,535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1,337.1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14.7</w:t>
            </w:r>
          </w:p>
        </w:tc>
        <w:tc>
          <w:tcPr>
            <w:tcW w:w="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1,351.8</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shareowners: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1.14</w:t>
            </w:r>
          </w:p>
        </w:tc>
        <w:tc>
          <w:tcPr>
            <w:tcW w:w="3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quarters ended March 31, 2025 and 2024, the number of stock awards excluded from the computation was 3.2 million and 15.3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Changes in Contract Estimates at Completion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attributable to common shareowners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6"/>
        </w:trPr>
        <w:tc>
          <w:tcPr>
            <w:tcW w:w="89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per share attributable to common shareowners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11,751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11,426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20" w:type="dxa"/>
            <w:vAlign w:val="bottom"/>
          </w:tcPr>
          <w:p>
            <w:pPr>
              <w:spacing w:after="0"/>
              <w:rPr>
                <w:sz w:val="16"/>
                <w:szCs w:val="16"/>
                <w:color w:val="auto"/>
              </w:rPr>
            </w:pP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3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15,241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(19,038)</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net, increased $0.7 billion during the quarter ended March 31, 2025 primarily due to sales in excess of billings on certain contracts at Pratt</w:t>
      </w:r>
    </w:p>
    <w:p>
      <w:pPr>
        <w:spacing w:after="0" w:line="27" w:lineRule="exact"/>
        <w:rPr>
          <w:sz w:val="20"/>
          <w:szCs w:val="20"/>
          <w:color w:val="auto"/>
        </w:rPr>
      </w:pPr>
    </w:p>
    <w:p>
      <w:pPr>
        <w:jc w:val="both"/>
        <w:ind w:firstLine="8"/>
        <w:spacing w:after="0" w:line="253" w:lineRule="auto"/>
        <w:tabs>
          <w:tab w:leader="none" w:pos="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Contract liabilities increased $0.4 billion during the quarter ended March 31, 2025 primarily due to advances received and billings in excess of sales on certain contracts at Pratt &amp; Whitney. We recognized revenue of $3.0 billion during the quarter ended March 31, 2025 related to contract liabilities outstanding as of January 1, 2025 and recognized revenue of $2.6 billion during the quarter ended March 31, 2024, related to contract liabilities outstanding as of January 1, 2024.</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Contract assets are net of an allowance for expected credit losses of $510 million and $491 million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Inventory,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20" w:type="dxa"/>
            <w:vAlign w:val="bottom"/>
          </w:tcPr>
          <w:p>
            <w:pPr>
              <w:spacing w:after="0"/>
              <w:rPr>
                <w:sz w:val="16"/>
                <w:szCs w:val="16"/>
                <w:color w:val="auto"/>
              </w:rPr>
            </w:pPr>
          </w:p>
        </w:tc>
        <w:tc>
          <w:tcPr>
            <w:tcW w:w="14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6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4,491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20" w:type="dxa"/>
            <w:vAlign w:val="bottom"/>
          </w:tcPr>
          <w:p>
            <w:pPr>
              <w:spacing w:after="0"/>
              <w:rPr>
                <w:sz w:val="19"/>
                <w:szCs w:val="19"/>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4,870</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4,257</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13,618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Borrowings and Lines of Credit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had a revolving credit agreement with various banks permitting aggregate borrowings of up to $5.0 billion, which expires in August 2028. As of March 31, 2025, there were no borrowings outstanding under this agreement.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March 31, 2025, our maximum commercial paper borrowing limit was $5.0 billion as the commercial paper is backed by our $5.0 billion revolving credit agreement. At March 31, 2025 and December 31, 2024, we had no commercial paper borrowings outstanding. There were no new borrowings and no new repayments of commercial paper with maturities greater than 90 days during the quarters ended March 31, 2025 and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 of long-term debt during the quarter ended March 31,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8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980" w:type="dxa"/>
            <w:vAlign w:val="bottom"/>
          </w:tcPr>
          <w:p>
            <w:pPr>
              <w:spacing w:after="0"/>
              <w:rPr>
                <w:sz w:val="13"/>
                <w:szCs w:val="13"/>
                <w:color w:val="auto"/>
              </w:rPr>
            </w:pPr>
          </w:p>
        </w:tc>
        <w:tc>
          <w:tcPr>
            <w:tcW w:w="316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auto"/>
            </w:tcBorders>
            <w:vMerge w:val="continue"/>
          </w:tcPr>
          <w:p>
            <w:pPr>
              <w:spacing w:after="0"/>
              <w:rPr>
                <w:sz w:val="17"/>
                <w:szCs w:val="17"/>
                <w:color w:val="auto"/>
              </w:rPr>
            </w:pPr>
          </w:p>
        </w:tc>
        <w:tc>
          <w:tcPr>
            <w:tcW w:w="48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4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3.200% notes due 2024</w:t>
            </w:r>
          </w:p>
        </w:tc>
        <w:tc>
          <w:tcPr>
            <w:tcW w:w="9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39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7"/>
                <w:szCs w:val="17"/>
                <w:color w:val="auto"/>
              </w:rPr>
            </w:pP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1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5.000% notes due 2026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719</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2026</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1,250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382</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135</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185</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2029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541</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6.000% notes due 2031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5.150% notes due 2033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1,250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6.100% notes due 2034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48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446</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4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575</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553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425</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5.375% notes due 2053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6.400% notes due 2054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0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41,158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41,146</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market value adjustments, (discounts)/premiums, and debt issuance costs)</w:t>
            </w:r>
          </w:p>
        </w:tc>
        <w:tc>
          <w:tcPr>
            <w:tcW w:w="10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6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41,088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2,844</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230"/>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38,244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38,726</w:t>
            </w:r>
          </w:p>
        </w:tc>
      </w:tr>
    </w:tbl>
    <w:p>
      <w:pPr>
        <w:spacing w:after="0" w:line="16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as of March 31, 2025 is approximately 12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2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1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10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1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401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40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0" w:type="dxa"/>
            <w:vAlign w:val="bottom"/>
          </w:tcPr>
          <w:p>
            <w:pPr>
              <w:spacing w:after="0"/>
              <w:rPr>
                <w:sz w:val="24"/>
                <w:szCs w:val="24"/>
                <w:color w:val="auto"/>
              </w:rPr>
            </w:pPr>
          </w:p>
        </w:tc>
        <w:tc>
          <w:tcPr>
            <w:tcW w:w="14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2,130</w:t>
            </w: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1200" w:type="dxa"/>
            <w:vAlign w:val="bottom"/>
          </w:tcPr>
          <w:p>
            <w:pPr>
              <w:spacing w:after="0"/>
              <w:rPr>
                <w:sz w:val="19"/>
                <w:szCs w:val="19"/>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257</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1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2,060</w:t>
            </w:r>
          </w:p>
        </w:tc>
        <w:tc>
          <w:tcPr>
            <w:tcW w:w="7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6"/>
                <w:szCs w:val="16"/>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13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1,532</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57"/>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13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13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2,104</w:t>
            </w:r>
          </w:p>
        </w:tc>
        <w:tc>
          <w:tcPr>
            <w:tcW w:w="0" w:type="dxa"/>
            <w:vAlign w:val="bottom"/>
          </w:tcPr>
          <w:p>
            <w:pPr>
              <w:spacing w:after="0"/>
              <w:rPr>
                <w:sz w:val="1"/>
                <w:szCs w:val="1"/>
                <w:color w:val="auto"/>
              </w:rPr>
            </w:pPr>
          </w:p>
        </w:tc>
      </w:tr>
      <w:tr>
        <w:trPr>
          <w:trHeight w:val="41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net periodic income for our defined pension plans were as follows:</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7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42</w:t>
            </w:r>
          </w:p>
        </w:tc>
        <w:tc>
          <w:tcPr>
            <w:tcW w:w="9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583</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loss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w:t>
            </w:r>
          </w:p>
        </w:tc>
        <w:tc>
          <w:tcPr>
            <w:tcW w:w="1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income</w:t>
            </w:r>
          </w:p>
        </w:tc>
        <w:tc>
          <w:tcPr>
            <w:tcW w:w="16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9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2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2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2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682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quarter ended March 31, 2025 was 17.0% as compared to 5.8% for the quarter ended March 31, 2024. The effective tax rate for the quarter ended March 31, 2024 included tax benefits of $275 million recognized as a result of the conclusion of the examination phases of the RTX and Rockwell Collins Internal Revenue Service (IRS) audits, which was partially offset by the tax cost of $143 million associated with the sale of the CIS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certain IRS audits, the Company has previously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will dispute these adjustments at the Appeals Division of the IRS. The timing of any resolution at the Appeals Division is uncertain. On January 15, 2025, the IRS notified the Company of its intent to close the examination of RTX’s 2020 tax year. The Company is awaiting formal closure of the examination by the IRS.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an unfavorable decision reached by the Appeals Committee of the Kingdom of Saudi Arabia (KSA) General Services Tax Committee (GSTC), we recognized a Net income charge of $27 million during the quarter ended March 31, 2025. The Company continues to believe the position of the KSA tax authority is not supported by the facts in question or KSA tax law and are pursuing available options to seek reversal of GSTC’s decision.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aggregate notional principal of our outstanding foreign currency hedges was $18 billion and $17 billion at March 31, 2025 and December 31, 2024, respectively. At March 31, 2025, all derivative contracts accounted for as cash flow hedges will mature by May 2036.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80" w:type="dxa"/>
            <w:vAlign w:val="bottom"/>
          </w:tcPr>
          <w:p>
            <w:pPr>
              <w:spacing w:after="0"/>
              <w:rPr>
                <w:sz w:val="16"/>
                <w:szCs w:val="16"/>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224</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loss and on the Condensed Consolidated Statement of Operations in the quarters ended March 31, 2025 and 2024 are presented in “Note 17: Equity.” The amounts of gain or loss are attributable to foreign exchange contract activity and are primarily recorded as a component of Products sales when reclassified from Accumulated other comprehensive loss. Cash receipts or payments on derivatives designated as cash flow hedges are recorded in Other operating activities, net within the Condensed Consolidated Statement of Cash Flows.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€320 million of our €500 million principal value of euro-denominated long-term debt designated as a net investment hedge against our investments in European businesses. At March 31, 2025, this is no longer designated as a net investment hedge, and the effects have been reflected within Other income, net.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net, on the Condensed Consolidated Statement of Operations and is not significant. Cash receipts or payments related to the settlement of derivatives not designated as hedging instruments are recorded as investing cash flows within the Condensed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682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612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265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265</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3"/>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center"/>
              <w:ind w:right="20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Pr>
          <w:p>
            <w:pPr>
              <w:spacing w:after="0"/>
              <w:rPr>
                <w:sz w:val="11"/>
                <w:szCs w:val="11"/>
                <w:color w:val="auto"/>
              </w:rPr>
            </w:pPr>
          </w:p>
        </w:tc>
        <w:tc>
          <w:tcPr>
            <w:tcW w:w="860" w:type="dxa"/>
            <w:vAlign w:val="bottom"/>
          </w:tcPr>
          <w:p>
            <w:pPr>
              <w:jc w:val="center"/>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center"/>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41,004</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38,342</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40,991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37,956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38,342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35,563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w:t>
            </w:r>
          </w:p>
        </w:tc>
        <w:tc>
          <w:tcPr>
            <w:tcW w:w="0" w:type="dxa"/>
            <w:vAlign w:val="bottom"/>
          </w:tcPr>
          <w:p>
            <w:pPr>
              <w:spacing w:after="0"/>
              <w:rPr>
                <w:sz w:val="1"/>
                <w:szCs w:val="1"/>
                <w:color w:val="auto"/>
              </w:rPr>
            </w:pPr>
          </w:p>
        </w:tc>
      </w:tr>
      <w:tr>
        <w:trPr>
          <w:trHeight w:val="39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37,956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35,180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and is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Variable Interest Entities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IAE and IAE LLC, after considering its sub-collaborator share, is 57% and 51%, respectively. The carrying amounts and classification of assets and liabilities for variable interest entities in our Condensed Consolidated Balance Sheet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20" w:type="dxa"/>
            <w:vAlign w:val="bottom"/>
          </w:tcPr>
          <w:p>
            <w:pPr>
              <w:spacing w:after="0"/>
              <w:rPr>
                <w:sz w:val="16"/>
                <w:szCs w:val="16"/>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11,468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1,099</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4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12,567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14,493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132</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4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14,625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2026. Additional guarantees of project performance for which there is no stated value also remain outstanding. A portion of our third party guarantees are subject to indemnification for our benefit for any liabilities that could arise. As of March 31, 2025 and December 31, 2024,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70</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were $129 million and $131 million at March 31, 2025 and December 31, 2024,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$100 million and $101 million at March 31, 2025 and December 31, 2024, respectively. These primarily relate to environmental liabilities, which are included in our total environmental liabilities as further discussed in “Note 16: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and product performance guarantees for the quarters ended March 31, 2025 and 2024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993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80</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1,023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and service guarantees incurred in connection with long term production contracts and certain aftermarket arrangements are generally accounted for within the contract estimates at completion.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March 31, 2025 and December 31, 2024, we had $0.8 billion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$13.9 billion and $14.1 billion as of March 31, 2025 and December 31, 2024,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creditworthiness of our customers. As a result, the fair value of these financing commitments is expected to equal the amounts funded.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$3.1 billion as of March 31, 2025.</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 Industrial Participation Obligations. </w:t>
      </w:r>
      <w:r>
        <w:rPr>
          <w:rFonts w:ascii="Times New Roman" w:cs="Times New Roman" w:eastAsia="Times New Roman" w:hAnsi="Times New Roman"/>
          <w:sz w:val="18"/>
          <w:szCs w:val="18"/>
          <w:color w:val="auto"/>
        </w:rPr>
        <w:t>We have entered into industrial cooperation agreements, sometimes in the form of either offset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ICIP agreements, as a condition to obtaining orders for our products and services from certain customers in foreign countries. At March 31, 2025, the aggregate amount of these agreements, both agreed to and anticipated to be agreed to, had an outstanding notional value of approximately $11.7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in 2024 the Company entered into a deferred prosecution agreement (DPA) (DPA-1) with the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 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Treatment of Carrier and Otis Dispositions. </w:t>
      </w:r>
      <w:r>
        <w:rPr>
          <w:rFonts w:ascii="Times New Roman" w:cs="Times New Roman" w:eastAsia="Times New Roman" w:hAnsi="Times New Roman"/>
          <w:sz w:val="18"/>
          <w:szCs w:val="18"/>
          <w:color w:val="auto"/>
        </w:rPr>
        <w:t>Management has determined that the distributions of Carrier and Otis on April 3, 2020,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internal business separation transactions, qualified as tax-free under applicable law. In making these determinations, we applied the tax law in the relevant jurisdictions to our facts and circumstances and obtained tax rulings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PW1100G-JM (PW1100) Geared Turbofan (GTF) fleet, which powers the A320neo family of aircraft (A320neo) (herein referred to as the “Powder Metal Matter”).</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charge recorded in the third quarter of 2023 resulted in a net increase in Other accrued liabilities of $2.8 billion, which principally related to our 51% share of an accrual for expected customer compensation. At March 31, 2025 and December 31, 2024, we had other accrued liabilities of $1.4 billion and $1.7 billion, respectively, primarily related to expected compensation to customers. The decrease in the accrual during the quarter ended March 31, 2025 was primarily due to customer compensation in the form of credits issued to customers during the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alleged overpayments of approximately $1.7 billion plus interest ($1.3 billion at March 31, 2025).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On September 30, 2024, a DCMA DACO issued a second claim against Pratt &amp; Whitney that similarly alleges that Pratt &amp; Whitney was noncompliant with CAS due to its method of allocating independent research and development costs to government contracts from April 1,</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to December 31, 2023. The second claim demands payment of $1.1 billion plus interest ($331 million at March 31, 2025). Pratt &amp; Whitney believes the second claim is without merit and filed an appeal to the ASBCA on October 15,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($190 million at March 31, 2025). The claim is based on Pratt &amp; Whitney’s alleged noncompliance with CAS from January 1, 2005 to December 31, 2012, due to its method of determining the cost of collaborator parts used in the calculation of material overhead costs for government contracts. In 2014, Pratt &amp; Whitney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($163 million at March 31, 2025).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($86 million at March 31, 2025).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and Related Matters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 seeking information in connection with an investigation into whether there were improper payments made by Raytheon Company, our TRS joint venture,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investigation. Following the government’s and the Company’s own internal investigations, the Company engaged in resolution discussions with the DOJ and the SEC, and during the second quarter of 2024, the Company reached agreements in principle with the DOJ and the SEC as to the principal elements of such resolutions, as previously disclosed on July 25, 2024. On October 15, 2024, Raytheon Company entered into DPA-1 with the DOJ and on October 16, 2024, the Company settled an administrative proceeding with the SEC to resolve these matters. Pursuant to DPA-1, the DOJ will defer, for a period of three years, criminal prosecution of Raytheon Company related to Raytheon Company’s conspiracy to violate the anti-bribery provisions of the FCPA and conspiracy to violate the AECA by failing to make related disclosures of certain payments that qualified as fees, commissions, and/or political contributions under Part 130 of the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DPA-1 provides for a criminal monetary penalty and forfeiture of $282 million. In addition, the SEC’s Administrative Order issued in connection with the administrative proceeding settlement alleged that Raytheon Company violated the anti-bribery, books and records, and internal controls provisions of the FCPA. The order provides for a $102 million payment to the SEC that includes disgorgement, prejudgment interest on disgorgement, and a civil penalty. Under DPA-1, the SEC’s Administrative Order, and DPA-2 discussed in “DOJ Investigation and Contract Pricing Disputes” below,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DPA-1, the SEC’s Administrative Order, and DPA-2 discussed in “DOJ Investigation and Contract Pricing Disputes” below. During the fourth quarter of 2024, the Company paid $384 million in the aggregate for DPA-1 and the SEC's Administrative Order which was consistent with amounts accrued. The Company does not believe that these matters will have a material adverse effect on our results of operations, financial condition, or liquidity.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and Contract Pricing Disputes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 since 2009. The investigation involved multi-year contracts subject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governmental regulation, including defective pricing claims for certain Raytheon Company contracts entered into between 2011 and 2013. As part of the same investigation, on March 24, 2021, the Company received a second criminal subpoena from the DOJ seeking documents relating to a certain contract entered into in 2017 by Raytheon Company. As previously disclosed on July 25, 2024, following the government’s and the Company’s own internal investigations, the Company engaged in resolution discussions with the DOJ, and during the second quarter of 2024, the Company reached an agreement in principle with the DOJ as to the principal elements of such resolution. In addition, the Company cooperated with the DOJ with respect to a related civil defective pricing investigation under the FCA. On October 16, 2024, Raytheon Company entered into DPA-2 and the FCA Settlement Agreement with the DOJ to resolve these matters. Pursuant to DPA-2,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DPA-2 provides for a criminal penalty in the amount of $147 million, plus restitution, and the FCA Settlement Agreement provides for an FCA settlement payment in the amount of $433 million, which includes restitution that will satisfy the criminal restitution obligation when paid. Under DPA-2 as well as DPA-1 and the SEC Administrative Order discussed in “Thales-Raytheon Systems and Related Matters” above,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DPA-2 as well as DPA-1 and the SEC Administrative Order discussed in “Thales-Raytheon Systems and Related Matters” above. During the fourth quarter of 2024, the Company paid $580 million in the aggregate for DPA-2 and the FCA Settlement Agreement which was consistent with amounts accrued plus interest. The Company does not believe that these matters, will have a material adverse effect on our results of operations, financial condition, or liquidity.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Compliance Matters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identify, investigate, remediate, and voluntarily disclose violations or potential violations of the ITAR and EAR to the relevant regulators. In May 2024, the U.S.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which was accrued by the Company in the second quarter of 2024, will be paid in installments, with $34 million paid in September 2024, $33 million due by August 29, 2025, and $33 million due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accrued $251 million in the aggregate as of March 31, 2025 for these matters and the matters being resolved pursuant to the CA. We are currently unable to estimate the timing or outcome of the other voluntarily disclosed export compliance matters that are not subject to the CA. However, the Company does not believe these matters will have a material adverse effect on our results of operations, financial condition, or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UTC Equity Conversion Litigation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United Technologies Corporation (UTC) equity awards were converted to certain Company equity awards following the separation of UTC into three independent, publicly traded companies. On July 23, 2024, in response to a motion to dismiss filed by defendants, the Court dismissed the shareholder derivative lawsuit in its entirety with prejudice. On August 22, 2024, the Plaintiff filed an appeal to the Delaware Supreme Court. We continue to believe that the lawsuit lacks merit. We also continue to believe that this matter will not have a material adverse effect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Civil Litigation Related to Employee Hiring Practices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Pratt &amp; Whitney is one of multiple defendants in a class action lawsuit pending in the United States District Court for the District of Connecticut alleging that Pratt &amp; Whitney and the other defendants agreed to restrict the hiring and recruiting of certain engineers and skilled laborers in a manner that violated federal antitrust laws. As of December 2024, all defendants, including Pratt &amp; Whitney, reached a settlement with class counsel. The Court has preliminarily approved the settlement, and we expect the Court will grant final approval of the settlement in 2025. Based on the information available to date, we do not believe that this matter will have a material adverse effect on our results of operations, financial condition, or liquidity.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a shareholder derivative lawsuit was filed in the Delaware Court of Chancery against the Company and certain current and former officers and directors of the Company alleging that defendants breached their fiduciary duties by failing to implement and enforce a reasonable oversight mechanism for compliance with antitrust laws. Based on the information available to date, we do not believe that this matter will have a material adverse effect on our results of operations, financial condition, or liquidity.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Powder Metal Disclosure Litigation and SEC Investigation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remain pending. Second, multiple shareholder derivative lawsuits were filed against current and former officers and directors of the Company, all of which have now been consolidated into a single action which is pending in the United States District Court for the District of Delaware. The operative complaint in the consolidated action alleges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2023, January 30, 2024, and May 21, 2024, the Company received subpoenas from the SEC seeking engineering, operational, organizational, accounting, and financial documents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cooperating with the SEC and is responding to the subpoenas. At this time, we are unable to predict the timing or outcome of this SEC investigation.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Unless noted above, loss contingency accruals are immaterial individually or in the aggregate.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15: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Equity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 summary of the changes in each component of Accumulated other comprehensive loss, net of tax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ended March 31, 2025 and 2024 is provided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13"/>
                <w:szCs w:val="13"/>
                <w:color w:val="auto"/>
              </w:rPr>
            </w:pPr>
          </w:p>
        </w:tc>
        <w:tc>
          <w:tcPr>
            <w:tcW w:w="14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March 31, 2025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499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(3,207)</w:t>
            </w:r>
          </w:p>
        </w:tc>
        <w:tc>
          <w:tcPr>
            <w:tcW w:w="0" w:type="dxa"/>
            <w:vAlign w:val="bottom"/>
          </w:tcPr>
          <w:p>
            <w:pPr>
              <w:spacing w:after="0"/>
              <w:rPr>
                <w:sz w:val="1"/>
                <w:szCs w:val="1"/>
                <w:color w:val="auto"/>
              </w:rPr>
            </w:pPr>
          </w:p>
        </w:tc>
      </w:tr>
      <w:tr>
        <w:trPr>
          <w:trHeight w:val="351"/>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24"/>
                <w:szCs w:val="24"/>
                <w:color w:val="auto"/>
              </w:rPr>
            </w:pPr>
          </w:p>
        </w:tc>
        <w:tc>
          <w:tcPr>
            <w:tcW w:w="14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24"/>
                <w:szCs w:val="24"/>
                <w:color w:val="auto"/>
              </w:rPr>
            </w:pPr>
          </w:p>
        </w:tc>
        <w:tc>
          <w:tcPr>
            <w:tcW w:w="14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March 31, 2024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RTX’s chief operating decision maker (CODM) is our President and Chief Executive Officer. The CODM uses segment operating profit as a profitability measure to assess actual and forecasted segment performance to make decisions regarding incentive compensation and the allocation of capital and other investments. 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quarters ended March 31, 2025 and 2024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00" w:type="dxa"/>
            <w:vAlign w:val="bottom"/>
          </w:tcPr>
          <w:p>
            <w:pPr>
              <w:spacing w:after="0"/>
              <w:rPr>
                <w:sz w:val="11"/>
                <w:szCs w:val="11"/>
                <w:color w:val="auto"/>
              </w:rPr>
            </w:pPr>
          </w:p>
        </w:tc>
        <w:tc>
          <w:tcPr>
            <w:tcW w:w="1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4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1,088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7,366</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(6,557)</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580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6,340</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(5,564)</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678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(17,937)</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2,346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12</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185</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(470)</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20,306</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2,035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net.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20" w:type="dxa"/>
            <w:vAlign w:val="bottom"/>
          </w:tcPr>
          <w:p>
            <w:pPr>
              <w:spacing w:after="0"/>
              <w:rPr>
                <w:sz w:val="11"/>
                <w:szCs w:val="11"/>
                <w:color w:val="auto"/>
              </w:rPr>
            </w:pPr>
          </w:p>
        </w:tc>
        <w:tc>
          <w:tcPr>
            <w:tcW w:w="12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2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849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996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2,257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214</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1,870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net.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4" w:lineRule="exact"/>
        <w:rPr>
          <w:rFonts w:ascii="Times New Roman" w:cs="Times New Roman" w:eastAsia="Times New Roman" w:hAnsi="Times New Roman"/>
          <w:sz w:val="14"/>
          <w:szCs w:val="14"/>
          <w:color w:val="auto"/>
        </w:rPr>
      </w:pPr>
    </w:p>
    <w:p>
      <w:pPr>
        <w:ind w:left="340" w:right="320" w:hanging="332"/>
        <w:spacing w:after="0" w:line="263" w:lineRule="auto"/>
        <w:tabs>
          <w:tab w:leader="none" w:pos="32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includes a $0.4 billion gain, net of transaction and other related costs, related to the sale of the CIS business. See “Note 2: Acquisitions and Dispositions”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&amp; Amortization segment information for the quarters ended March 31,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542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489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20" w:type="dxa"/>
            <w:vAlign w:val="bottom"/>
            <w:tcBorders>
              <w:bottom w:val="single" w:sz="8" w:color="auto"/>
            </w:tcBorders>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1,052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41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by segment are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2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3"/>
        </w:trPr>
        <w:tc>
          <w:tcPr>
            <w:tcW w:w="6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73,105</w:t>
            </w:r>
          </w:p>
        </w:tc>
        <w:tc>
          <w:tcPr>
            <w:tcW w:w="7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72,372</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46,248</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44,681</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164,034</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164,864</w:t>
            </w:r>
          </w:p>
        </w:tc>
        <w:tc>
          <w:tcPr>
            <w:tcW w:w="7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162,861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Total assets include acquired intangible assets and the property, plant, and equipment fair value adjustment. Related amortization expense is included in Acquisition accounting adjustments.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based on customer location for the quarters ended March 31,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692</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09"/>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7,365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6,300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(671)</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(617)</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20,306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quarters ended March 31,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8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 direct commercial sales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 aerospace and 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4,485</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5,253</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9,751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6,587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630</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2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20,306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March 31,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1,477</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3,333</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5,715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5,002</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6,587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20,306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quarters ended March 31, 2025 and 2024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3,337</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6,630</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6,340</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Remaining Performance Obligations (RPO)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RPO represents the aggregate amount of total contract transaction price that is unsatisfied or partially unsatisfied. Total RPO was approximately $217 billion as of March 31, 2025. Of the total RPO as of March 31, 2025, we expect approximately 25% will be recognized as revenue over the next 12 months. Approximately 45% of our RPO relates to long-term commercial aerospace maintenance contracts at Pratt &amp; Whitney, which are generally expected to be realized over a span of up to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Disaggregation of Income Statement Expenses, which requires a tabular disclosure of the amounts of specified natural expense categories included in each relevant expense caption. Additionally, ASU 2024-03 requires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income tax reporting disclosures and require disclosure of specific categories in the tabular rate reconciliation. The new standard is effective for fiscal years beginning after December 15, 2024, on a prospective basis. Early adoption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retrospective application are permitted. We are currently evaluating the impact on our disclosures of adopting this new pronouncement.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March 31, 2025 are not expected to have a material impact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RTX for the quarters ended March 31, 2025 and 2024, PricewaterhouseCoopers LLP (PwC) reported that it has applied limited procedures in accordance with professional standards for a review of such information. However, its report dated April 22, 2025,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RTX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RTX Corporation and its subsidiaries (the “Company”) as of March 31, 2025, and the related condensed consolidated statements of operations, of comprehensive income, of changes in equity, and of cash flows for the three-month periods ended March 31, 2025 and 2024,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2024, and the related consolidated statements of operations, of comprehensive income, of changes in equity, and of cash flows for the year then ended (not presented herein), and in our report dated February 3, 2025, we expressed an unqualified opinion on those consolidated financial statements. In our opinion, the information set forth in the accompanying condensed consolidated balance sheet as of December 31, 2024,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 References to “Raytheon Company” mean Raytheon Company, which became a wholly owned subsidiary of RTX on April 3, 2020 during an all-stock merger transaction between United Technologies Corporation and Raytheon Company (the surviving company of which is RTX Corporation).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quarter calendar end. Throughout this Form 10-Q, when we refer to the quarters ended March 31, 2025 and 2024 with respect to Raytheon, we are referring to their March 30, 2025 and March 31, 2024 fiscal quarter ends,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2025 is discussed below. For additional discussion, refer to the “Business Overview” section in Management’s Discussion and Analysis of Financial Condition and Results of Operations (MD&amp;A) in our 2024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and supply, labor availability and costs, inflation, interest rates, potential changes in U.S. government policy positions, including changes in DoD policies or priorities, geopolitical conflicts and strained intercountry relations, U.S. and non-U.S. tax law changes, foreign currency exchange rates, sanctions, tariffs, energy costs and supply, levels of air travel, the financial condition of commercial airlines, and the impact from natural disasters and weather conditions create uncertainties that could impact our businesses.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As previously announced, in 2024 the Company resolved several outstanding legal matters, herein referred to as “Resolution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Matters.” The Company entered into a deferred prosecution agreement (DPA) (DPA-1) with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Department of Justice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The DPAs further provide that, in the event the DOJ, in its sole discretion, determines during the period of deferral of prosecution that Raytheon Company or the Company have violated any provision of either DPA, Raytheon Company or the Company may be subject to prosecution for any federal criminal violation, including the charges against Raytheon Company in the relevant DPA. The SEC Administrative Order further provides that, in the event of a breach of the SEC Administrative Order, the SEC may vacate the SEC Administrative Order and institute proceedings against the Company. In the event of any such determination or breach, the Company may face additional adverse impacts. In addition, the Company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(Trade Compliance Matters).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DPA-1, DPA-2, the SEC Administrative Order, and the CA, see “Note 16: Commitments and Contingencies,” within Item 1 of this Form 10-Q.</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As described further in “Note 16: Commitments and Contingencies,” within Item 1 of this Form 10-Q,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Global Supply Chain. </w:t>
      </w:r>
      <w:r>
        <w:rPr>
          <w:rFonts w:ascii="Times New Roman" w:cs="Times New Roman" w:eastAsia="Times New Roman" w:hAnsi="Times New Roman"/>
          <w:sz w:val="18"/>
          <w:szCs w:val="18"/>
          <w:color w:val="auto"/>
        </w:rPr>
        <w:t>We are dependent on a global supply chain and have experienced supply chain disruptions that resulted in delays and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adversely affected our performance. These disruptions impacted our ability to procure raw materials,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are contributing to these issues. Furthermore, our suppliers and subcontractors have been impacted by these same issues. As a result of the Canadian government’s imposition of sanctions in February 2024, including those imposed on U.S.- and German-based Russian-owned entities from which we source titanium for use in our Canadian operations, we recorded charges of $175 million in the first quarter of 2024 within our Collins segment. These charges were primarily related to the recognition of unfavorable purchase commitments and an impairment of contract fulfillment costs that were no longer recoverable as a result of initiating alternative titanium sources. We have implemented actions and programs to mitigate some of the impacts but anticipate supply chain disruptions to continue.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The inflationary environment has increased material and component prices, labor rates, and supplier costs and has negatively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 digital transformation, operational modernization, cost reduction, and advanced technology programs, and we apply our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 Oriented Results and Excellence (CORE) operating platform to the execution of these initiatives. However, the impact of these pressures and corresponding initiatives is uncertain and subject to a range of factors and future developments.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February 2025, the U.S. government has issued several executive orders imposing tariffs on imports from most countries with whom the U.S. engages in trade (the Tariff EOs). In response to the Tariff EOs, China, the European Union and Canada have announced, and in some cases imposed, counter tariffs on goods that are imported from the U.S. Our businesses import goods subject to tariffs from many countries covered by the Tariff EOs and they also import goods into countries which have announced counter tariffs and other actions. We are pursuing a variety of actions to mitigate the potential impact of tariffs, including (i) utilizing available exemptions or exclusions to tariffs, such as trade agreements, treaties or other statutory relief, (ii) evaluating operational and supply chain changes, and (iii) where feasible, increasing the prices of our goods and services. The uncertainties created by these changes in global trade policy and the imposition of tariffs, counter tariffs and non-tariff countermeasures by countries subject to U.S. tariffs may adversely affect our previously issued 2025 outlook with respect to our results of operations and cash flows. If the imposition of current tariff levels is sustained, we expect our profitability, cash flows and estimates inherent in our financial statements to be negatively affected. The actual financial impacts of tariffs are dependent upon various factors, most notably, the scope of goods covered by tariffs, the value of our imports subject to tariffs, the rate of tariffs applied, the timing and duration of tariffs, the implementation of tariff and non-tariff countermeasures by countries subject to U.S. tariffs, and our ability to mitigate the impacts of tariffs. Changes in any of these factors and actual tariff costs incurred could significantly affect the estimates inherent in our financial statements, including those used in our estimates-at-completion (EACs), and estimates supporting the recoverability of our inventories, contract fulfillment costs, deferred tax assets, intangible assets and goodwill, and could have a material effect on our results of operations and cash flows in the periods recognized and paid.</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 Government’s Budget. </w:t>
      </w:r>
      <w:r>
        <w:rPr>
          <w:rFonts w:ascii="Times New Roman" w:cs="Times New Roman" w:eastAsia="Times New Roman" w:hAnsi="Times New Roman"/>
          <w:sz w:val="18"/>
          <w:szCs w:val="18"/>
          <w:color w:val="auto"/>
        </w:rPr>
        <w:t>On March 15, 2025, the President signed a continuing resolution (CR) under which U.S. government Departments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Agencies will continue to operate through September 30, 2025, the end of the government fiscal year. The CR funds the government at fiscal year 2024 levels with certain exceptions, including the addition of approximately $6 billion to the DoD budget. Although Congress provided guidelines to the Executive Branch, the CR generally permits individual Departments and Agencies to determine the areas and programs to fund. As a result, the impact of the CR on RTX ultimately will depend on those funding decisions, however RTX currently does not expect that the CR will materially impact our business or results of operations.</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Executive Order Regarding Modernizing Defense Acquisitions</w:t>
      </w:r>
      <w:r>
        <w:rPr>
          <w:rFonts w:ascii="Times New Roman" w:cs="Times New Roman" w:eastAsia="Times New Roman" w:hAnsi="Times New Roman"/>
          <w:sz w:val="18"/>
          <w:szCs w:val="18"/>
          <w:color w:val="auto"/>
        </w:rPr>
        <w:t>. On April 9, 2025, the U.S. government issued an executive order requiring,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things, a DoD review of its Major Defense Acquisition Programs to identify those that are 15% behind schedule, 15% over budget, unable to meet key performance parameters, or unaligned with the Secretary of Defense’s mission priorities for potential cancellation. Although RTX does not, at this time, believe the Executive Order will have a material impact on our business or results of operations, the longer-term ramifications, if any, to RTX will depend on a variety of factors including the formulation and implementation of the review criteria in the order, the review timeline, the Secretary of Defense’s mission priorities, and future budget determinations based on the results of such review.</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Geopolitical Matters.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The Chinese sanctions against RMD included a fine equal to twice the value of the arms that RMD sold to Taiwan since September 2020. Since that time, China has announced additional sanctions against the Raytheon business and a Collins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closely monitor potential impacts to RTX’s business, customers, suppliers, employees, and operations in Israel, the Middle East, and the region at large due to renewed violence in Gaza, resumed Houthi missile attacks against Israel, and uncertainty related to regime change in Syria. RTX’s commercial manufacturing facilities in Israel remain open and operational and have continued exporting products and importing critical items and raw materials. RTX’s defense programs’ ability to receive components from Israel has not been impacted in any material respect, although we could experience future delivery delays of certain products if further escalations arise. To date, the overall impacts to RTX from this situation have been minimal; however, given the volatile nature of the situation, the potential impacts to RTX are subject to change.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2024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2024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implement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20,306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520" w:type="dxa"/>
            <w:vAlign w:val="bottom"/>
            <w:gridSpan w:val="4"/>
          </w:tcPr>
          <w:p>
            <w:pPr>
              <w:jc w:val="right"/>
              <w:ind w:right="562"/>
              <w:spacing w:after="0"/>
              <w:rPr>
                <w:sz w:val="20"/>
                <w:szCs w:val="20"/>
                <w:color w:val="auto"/>
              </w:rPr>
            </w:pPr>
            <w:r>
              <w:rPr>
                <w:rFonts w:ascii="Times New Roman" w:cs="Times New Roman" w:eastAsia="Times New Roman" w:hAnsi="Times New Roman"/>
                <w:sz w:val="18"/>
                <w:szCs w:val="18"/>
                <w:color w:val="auto"/>
                <w:w w:val="99"/>
              </w:rPr>
              <w:t>The factors contributing to the change year-over-year in total net sales for the quarter ended March 31, 2025 are as follows: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change</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$1.5 billion organically in the quarter ended March 31, 2025 compared to the quarter ended March 31, 2024 primarily due to higher organic net sales of $0.9 billion at Pratt &amp; Whitney, $0.6 billion at Collins, and $0.1 billion at Raytheon.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sales due to Acquisitions and divestitures, net of $0.5 billion for the quarter ended March 31, 2025 compared to the quarter ended March 31, 2024, was primarily driven by the sale of our Cybersecurity, Intelligence and Services (CIS) business within our Raytheon segment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14,591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71.9 %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5,715</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28.1 %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20,306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sales increased $0.3 billion in the quarter ended March 31, 2025 compared to the quarter ended March 31, 2024 primarily due to increases in external products sales of $0.3 billion at Collins and $0.1 billion at Pratt &amp; Whitney, partially offset by a decrease in external products sales of $0.1 billion at Raytheon.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$0.7 billion in the quarter ended March 31, 2025 compared to the quarter ended March 31, 2024 primarily due to increases in external services sales of $0.8 billion at Pratt &amp; Whitney and $0.1 billion at Collins, partially offset by a decrease in external services sales of $0.3 billion at Raytheon, primarily driven by the sale of the CIS business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7,732</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38.1 %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1,352</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6.7 %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9,751</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48.0 %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20,306</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19,305</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640" w:type="dxa"/>
            <w:vAlign w:val="bottom"/>
            <w:gridSpan w:val="2"/>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580" w:type="dxa"/>
            <w:vAlign w:val="bottom"/>
            <w:vMerge w:val="continue"/>
          </w:tcPr>
          <w:p>
            <w:pPr>
              <w:spacing w:after="0"/>
              <w:rPr>
                <w:sz w:val="15"/>
                <w:szCs w:val="15"/>
                <w:color w:val="auto"/>
              </w:rPr>
            </w:pPr>
          </w:p>
        </w:tc>
        <w:tc>
          <w:tcPr>
            <w:tcW w:w="18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16,190</w:t>
            </w:r>
          </w:p>
        </w:tc>
        <w:tc>
          <w:tcPr>
            <w:tcW w:w="54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15,744</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0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79.7 %</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0" w:type="dxa"/>
            <w:vAlign w:val="bottom"/>
          </w:tcPr>
          <w:p>
            <w:pPr>
              <w:spacing w:after="0"/>
              <w:rPr>
                <w:sz w:val="1"/>
                <w:szCs w:val="1"/>
                <w:color w:val="auto"/>
              </w:rPr>
            </w:pPr>
          </w:p>
        </w:tc>
      </w:tr>
      <w:tr>
        <w:trPr>
          <w:trHeight w:val="419"/>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ended March 31, 2025 are as follows:</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vMerge w:val="continue"/>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3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0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$1.1 billion for the quarter ended March 31, 2025 compared to the quarter ended March 31, 2024, was primarily driven by the organic net sales increases at Pratt &amp; Whitney, Collins, and Raytheon noted above.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total cost of sales due to Acquisitions and divestitures, net of $0.4 billion for the quarter ended March 31, 2025 compared to the quarter ended March 31, 2024, was primarily driven by the sale of the CIS business within our Raytheon segment completed in the first quarter of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 of sales decreased $0.2 billion in the quarter ended March 31, 2025 compared to the quarter ended March 31, 2024, primarily driven by the absence of $0.2 billion of charges recorded in the first quarter of 2024 at Collins related to the recognition of unfavorable purchase commitments and an impairment of contract fulfillment costs that were no longer recoverable as a result of initiating alternative titanium 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 and the consolidation of facilities.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12,283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60.5 %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3,907</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19.2 %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16,190</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79.7 %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products cost of sales increased $0.1 billion in the quarter ended March 31, 2025 compared to the quarter ended March 31, 2024, primarily driven by increases in external products cost of sales at Collins and Pratt &amp; Whitney, partially offset by a decrease in external products cost of sales at Raytheon, each driven by the products sales changes noted above. The increase was also partially offset by the absence of charges recorded during the first quarter of 2024 at Collins as a result of initiating alternative titanium sources.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$0.4 billion in the quarter ended March 31, 2025 compared to the quarter ended March 31, 2024, primarily due to an increase in external services cost of sales at Pratt &amp; Whitney, driven by the services sales change noted above, partially offset by a decrease in external services cost of sales at Raytheon, primarily driven by the sale of the CIS business completed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80" w:type="dxa"/>
            <w:vAlign w:val="bottom"/>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637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1,200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and customer-funded research and development expenses for the quarter ended March 31, 2025 were relatively consistent with the quarter ended March 31, 2024.</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80" w:type="dxa"/>
            <w:vAlign w:val="bottom"/>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1,448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of $0.1 billion for the quarter ended March 31, 2025 compared to the quarter ended March 31, 2024 was primarily driven by higher restructuring related costs as a result of actions initiated in the first quarter of 2025 at Collins.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Net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6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Borders>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120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of $0.4 billion for the quarter ended March 31, 2025 compared to the quarter ended March 31, 2024 was primarily due to the absence of a $0.4 billion gain on sale of the CIS business in the first quarter of 2024, which was partially offset by an adjustment to certain tax related indemnity receivables recorded in the same quarter.</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80" w:type="dxa"/>
            <w:vAlign w:val="bottom"/>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2,035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Operating profit of $0.2 billion for the quarter ended March 31, 2025 compared to the quarter ended March 31, 2024 was primarily driven by the operating performance of our segments of $0.4 billion, the absence of $0.2 billion of charges at Collins as a result of initiating alternative titanium sources during the first quarter of 2024, and the absence of the $0.1 billion reversal of certain tax related indemnity receivables recorded in the first quarter of 2024. These increases were partially offset by the absence of a $0.4 billion gain on sale of the CIS business recorded in the first quarter of 2024 and an increase in restructuring charges of $0.1 billion.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3"/>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Non-service pension income</w:t>
            </w:r>
          </w:p>
        </w:tc>
        <w:tc>
          <w:tcPr>
            <w:tcW w:w="4240" w:type="dxa"/>
            <w:vAlign w:val="bottom"/>
            <w:tcBorders>
              <w:bottom w:val="single" w:sz="8" w:color="auto"/>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418"/>
        </w:trPr>
        <w:tc>
          <w:tcPr>
            <w:tcW w:w="10020" w:type="dxa"/>
            <w:vAlign w:val="bottom"/>
            <w:gridSpan w:val="9"/>
          </w:tcPr>
          <w:p>
            <w:pPr>
              <w:jc w:val="right"/>
              <w:ind w:right="90"/>
              <w:spacing w:after="0"/>
              <w:rPr>
                <w:sz w:val="20"/>
                <w:szCs w:val="20"/>
                <w:color w:val="auto"/>
              </w:rPr>
            </w:pPr>
            <w:r>
              <w:rPr>
                <w:rFonts w:ascii="Times New Roman" w:cs="Times New Roman" w:eastAsia="Times New Roman" w:hAnsi="Times New Roman"/>
                <w:sz w:val="18"/>
                <w:szCs w:val="18"/>
                <w:color w:val="auto"/>
                <w:w w:val="99"/>
              </w:rPr>
              <w:t>The Non-service pension income for the quarter ended March 31, 2025 was relatively consistent with the quarter ended March 31, 2024.</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40" w:type="dxa"/>
            <w:vAlign w:val="bottom"/>
            <w:gridSpan w:val="5"/>
          </w:tcPr>
          <w:p>
            <w:pPr>
              <w:jc w:val="right"/>
              <w:ind w:right="17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502</w:t>
            </w:r>
          </w:p>
        </w:tc>
        <w:tc>
          <w:tcPr>
            <w:tcW w:w="5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(51)</w:t>
            </w:r>
          </w:p>
        </w:tc>
        <w:tc>
          <w:tcPr>
            <w:tcW w:w="5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880" w:type="dxa"/>
            <w:vAlign w:val="bottom"/>
            <w:tcBorders>
              <w:bottom w:val="single" w:sz="8" w:color="auto"/>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expense (income)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(8)</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9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443</w:t>
            </w:r>
          </w:p>
        </w:tc>
        <w:tc>
          <w:tcPr>
            <w:tcW w:w="5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9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4.5 %</w:t>
            </w:r>
          </w:p>
        </w:tc>
        <w:tc>
          <w:tcPr>
            <w:tcW w:w="5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302" w:lineRule="auto"/>
        <w:tabs>
          <w:tab w:leader="none" w:pos="34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increased $38 million in the quarter ended March 31, 2025 compared to the quarter ended March 31, 2024. The increase in Interest expense is primarily due to the reversal of interest accruals as a result of the conclusion of certain tax audits recorded during the first quarter of 2024, partially offset by lower interest expense on long-term debt in the first quarter of 2025.</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Quarter Ended March 31,</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8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8700" w:type="dxa"/>
            <w:vAlign w:val="bottom"/>
            <w:tcBorders>
              <w:bottom w:val="single" w:sz="8" w:color="auto"/>
            </w:tcBorders>
            <w:gridSpan w:val="2"/>
            <w:shd w:val="clear" w:color="auto" w:fill="CCEEFF"/>
          </w:tcPr>
          <w:p>
            <w:pPr>
              <w:jc w:val="right"/>
              <w:ind w:right="6808"/>
              <w:spacing w:after="0"/>
              <w:rPr>
                <w:sz w:val="20"/>
                <w:szCs w:val="20"/>
                <w:color w:val="auto"/>
              </w:rPr>
            </w:pPr>
            <w:r>
              <w:rPr>
                <w:rFonts w:ascii="Times New Roman" w:cs="Times New Roman" w:eastAsia="Times New Roman" w:hAnsi="Times New Roman"/>
                <w:sz w:val="18"/>
                <w:szCs w:val="18"/>
                <w:color w:val="auto"/>
                <w:w w:val="99"/>
              </w:rPr>
              <w:t>Effective income tax rate</w:t>
            </w:r>
          </w:p>
        </w:tc>
        <w:tc>
          <w:tcPr>
            <w:tcW w:w="1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17.0 %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quarter ended March 31, 2025 was 17.0% as compared to 5.8% for the quarter ended March 31, 2024. The effective tax rate for the quarter ended March 31, 2024 included tax benefits of $275 million recognized as a result of the conclusion of the examination phases of the RTX and Rockwell Collins Internal Revenue Service (IRS) audits, which was partially offset by the tax cost of $143 million associated with the sale of the CIS business.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0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1,535</w:t>
            </w:r>
          </w:p>
        </w:tc>
        <w:tc>
          <w:tcPr>
            <w:tcW w:w="11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w:t>
            </w:r>
          </w:p>
        </w:tc>
        <w:tc>
          <w:tcPr>
            <w:tcW w:w="11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March 31, 2025 includes the following: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earnings per share (EPS) of $0.27;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$0.1 billion, net of tax, which had an unfavorable impact on diluted EPS of $0.07.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March 31, 2024 includes the following:</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EPS of $0.29;</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5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recognized as a result of the conclusion of the examination phases of the RTX and Rockwell Collins tax audits of $0.3 billion, net of tax, which had a favorable impact on diluted EPS of $0.21;</w:t>
      </w:r>
    </w:p>
    <w:p>
      <w:pPr>
        <w:ind w:left="660" w:hanging="328"/>
        <w:spacing w:after="0" w:line="250" w:lineRule="auto"/>
        <w:tabs>
          <w:tab w:leader="none" w:pos="5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the CIS business, net of transaction and other related costs, of $0.2 billion, net of tax, which had a favorable impact on diluted EPS of $0.18; and</w:t>
      </w:r>
    </w:p>
    <w:p>
      <w:pPr>
        <w:ind w:left="660" w:hanging="328"/>
        <w:spacing w:after="0" w:line="260" w:lineRule="auto"/>
        <w:tabs>
          <w:tab w:leader="none" w:pos="5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initiating alternative titanium sources at our Collins segment of $0.2 billion, which had an unfavorable impact on diluted EPS of $0.13.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Operating Profit excludes certain acquisition accounting adjustments, the FAS/CAS operating adjustment, and certain corporate expenses, as further discussed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7,217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7,366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6,340</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20,923</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20,306</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0" w:type="dxa"/>
            <w:vAlign w:val="bottom"/>
          </w:tcPr>
          <w:p>
            <w:pPr>
              <w:spacing w:after="0"/>
              <w:rPr>
                <w:sz w:val="1"/>
                <w:szCs w:val="1"/>
                <w:color w:val="auto"/>
              </w:rPr>
            </w:pPr>
          </w:p>
        </w:tc>
      </w:tr>
      <w:tr>
        <w:trPr>
          <w:trHeight w:val="314"/>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(1)  Includes the operating results of certain smaller operations.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Operating profit by segment was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8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1,088</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580</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678</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2,346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185</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2,035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27" w:lineRule="exact"/>
        <w:rPr>
          <w:rFonts w:ascii="Times New Roman" w:cs="Times New Roman" w:eastAsia="Times New Roman" w:hAnsi="Times New Roman"/>
          <w:sz w:val="14"/>
          <w:szCs w:val="14"/>
          <w:color w:val="auto"/>
        </w:rPr>
      </w:pPr>
    </w:p>
    <w:p>
      <w:pPr>
        <w:ind w:left="340" w:right="20" w:hanging="332"/>
        <w:spacing w:after="0" w:line="283" w:lineRule="auto"/>
        <w:tabs>
          <w:tab w:leader="none" w:pos="33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 ended March 31, 2024 includes a $0.4 billion gain, net of transaction and other related costs, related to the sale of the CIS business. See “Note 2: Acquisitions and Dispositions” within Item 1 of this Form 10-Q for additional information.</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net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EAC adjustments in the quarter ended March 31, 2025 were relatively consistent with the quarter ended March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Backlog and Bookings. </w:t>
      </w:r>
      <w:r>
        <w:rPr>
          <w:rFonts w:ascii="Times New Roman" w:cs="Times New Roman" w:eastAsia="Times New Roman" w:hAnsi="Times New Roman"/>
          <w:sz w:val="18"/>
          <w:szCs w:val="18"/>
          <w:color w:val="auto"/>
        </w:rPr>
        <w:t>Total backlog was $217 billion and $218 billion as of March 31, 2025 and December 31, 2024, respectively. Total backlog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commercial backlog of $125 billion as of both March 31, 2025 and December 31, 2024, and defense backlog of $92 billion and $93 billion as of March 31, 2025 and December 31, 2024, respectively.</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bookings are an important measure of future performance for our defense businesses. Our defense operations consist primarily of our Raytheon business and operations in the defense businesses within our Collins and Pratt &amp; Whitney segments. Defense bookings were approximately $9 billion and $11 billion for the quarters ended March 31, 2025 and 2024,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vMerge w:val="continue"/>
          </w:tcPr>
          <w:p>
            <w:pPr>
              <w:spacing w:after="0"/>
              <w:rPr>
                <w:sz w:val="15"/>
                <w:szCs w:val="15"/>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7,217</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1,088</w:t>
            </w:r>
          </w:p>
        </w:tc>
        <w:tc>
          <w:tcPr>
            <w:tcW w:w="520" w:type="dxa"/>
            <w:vAlign w:val="bottom"/>
          </w:tcPr>
          <w:p>
            <w:pPr>
              <w:spacing w:after="0"/>
              <w:rPr>
                <w:sz w:val="19"/>
                <w:szCs w:val="19"/>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849</w:t>
            </w:r>
          </w:p>
        </w:tc>
        <w:tc>
          <w:tcPr>
            <w:tcW w:w="118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15.1 %</w:t>
            </w:r>
          </w:p>
        </w:tc>
        <w:tc>
          <w:tcPr>
            <w:tcW w:w="5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240" w:type="dxa"/>
            <w:vAlign w:val="bottom"/>
          </w:tcPr>
          <w:p>
            <w:pPr>
              <w:spacing w:after="0"/>
              <w:rPr>
                <w:sz w:val="24"/>
                <w:szCs w:val="24"/>
                <w:color w:val="auto"/>
              </w:rPr>
            </w:pPr>
          </w:p>
        </w:tc>
        <w:tc>
          <w:tcPr>
            <w:tcW w:w="6520" w:type="dxa"/>
            <w:vAlign w:val="bottom"/>
            <w:gridSpan w:val="8"/>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2025 Compared with Quarter Ended March 31, 2024</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1"/>
                <w:szCs w:val="11"/>
                <w:color w:val="auto"/>
              </w:rPr>
            </w:pPr>
          </w:p>
        </w:tc>
        <w:tc>
          <w:tcPr>
            <w:tcW w:w="1320" w:type="dxa"/>
            <w:vAlign w:val="bottom"/>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1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4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6"/>
              </w:rPr>
              <w:t>544</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6"/>
              </w:rPr>
              <w:t>239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organic net sales increase of $0.6 billion in the quarter ended March 31, 2025 compared to the quarter ended March 31, 2024 primarily relates to higher commercial aerospace aftermarket sales of $0.3 billion, higher defense sales of $0.2 billion, and a modest increase in commercial aerospace OEM sales. The increase in commercial aerospace sales was principally driven by continued growth in commercial air traffic, which has resulted in an increase in flight hours and increased volume. The increase in defense sales was primarily due to higher volume across multiple programs and platforms</w:t>
      </w:r>
      <w:r>
        <w:rPr>
          <w:rFonts w:ascii="Times New Roman" w:cs="Times New Roman" w:eastAsia="Times New Roman" w:hAnsi="Times New Roman"/>
          <w:sz w:val="19"/>
          <w:szCs w:val="19"/>
          <w:color w:val="auto"/>
        </w:rPr>
        <w:t>.</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$0.2 billion in the quarter ended March 31, 2025 compared to the quarter ended March 31, 2024 was primarily due to higher commercial aerospace operating profit of $0.2 billion, principally driven by the higher aftermarket sales volume discussed above. Defense operating profit increased $0.1 billion in the quarter ended March 31, 2025 compared to the quarter ended March 31, 2024 due to the higher sales volume discussed above.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operating profit of $0.2 billion in the quarter ended March 31, 2025 compared to the quarter ended March 31, 2024 was primarily driven by the absence of $0.2 billion of charges recorded in the first quarter of 2024 related to the recognition of unfavorable purchase commitments and an impairment of contract fulfillment costs that were no longer recoverable as a result of initiating alternative titanium sources.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restructuring costs during the quarter ended March 31, 2025 compared to the quarter ended March 31, 2024 relates primarily to workforce reductions initiated in the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Defense Bookings – In addition to a number of smaller bookings, in the quarter ended March 31, 2025, Collins booked $358 million for the U.S. Navy's solution for engineering design and manufacturing of the Very Low Frequency subsystem.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vMerge w:val="continue"/>
          </w:tcPr>
          <w:p>
            <w:pPr>
              <w:spacing w:after="0"/>
              <w:rPr>
                <w:sz w:val="15"/>
                <w:szCs w:val="15"/>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7,366</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6,456</w:t>
            </w:r>
          </w:p>
        </w:tc>
        <w:tc>
          <w:tcPr>
            <w:tcW w:w="1180" w:type="dxa"/>
            <w:vAlign w:val="bottom"/>
            <w:tcBorders>
              <w:top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580</w:t>
            </w:r>
          </w:p>
        </w:tc>
        <w:tc>
          <w:tcPr>
            <w:tcW w:w="5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118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5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240" w:type="dxa"/>
            <w:vAlign w:val="bottom"/>
          </w:tcPr>
          <w:p>
            <w:pPr>
              <w:spacing w:after="0"/>
              <w:rPr>
                <w:sz w:val="24"/>
                <w:szCs w:val="24"/>
                <w:color w:val="auto"/>
              </w:rPr>
            </w:pPr>
          </w:p>
        </w:tc>
        <w:tc>
          <w:tcPr>
            <w:tcW w:w="6520" w:type="dxa"/>
            <w:vAlign w:val="bottom"/>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2025 Compared with Quarter Ended March 31, 2024</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560" w:type="dxa"/>
            <w:vAlign w:val="bottom"/>
          </w:tcPr>
          <w:p>
            <w:pPr>
              <w:jc w:val="center"/>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00" w:type="dxa"/>
            <w:vAlign w:val="bottom"/>
          </w:tcPr>
          <w:p>
            <w:pPr>
              <w:jc w:val="right"/>
              <w:ind w:right="157"/>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0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  $</w:t>
            </w:r>
          </w:p>
        </w:tc>
        <w:tc>
          <w:tcPr>
            <w:tcW w:w="118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6"/>
              </w:rPr>
              <w:t>910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6"/>
              </w:rPr>
              <w:t>168</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$0.9 billion in the quarter ended March 31, 2025, compared to the quarter ended March 31, 2024, reflects higher commercial aftermarket sales of $0.8 billion, primarily driven by higher volume and favorable mix. The increase also includes higher commercial OEM sales of $0.1 billion, primarily driven by higher volume. Military sales increased $0.1 billion, primarily due to higher engine deliveries on the tanker program and higher volume on the F135 Engine Core Upgrade.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operating profit increase of $0.2 billion in the quarter ended March 31, 2025, compared to the quarter ended March 31, 2024 reflects higher commercial aerospace operating profit of $0.2 billion, primarily driven by higher commercial aftermarket sales volume and favorable mix, partially offset by lower commercial OEM operating profit driven by the sales volume discussed above.</w:t>
      </w:r>
    </w:p>
    <w:p>
      <w:pPr>
        <w:spacing w:after="0" w:line="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March 31, 2025, Pratt &amp; Whitney booked $552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phase of the Next Generation Adaptive Propulsion (NGAP) program and $541 million for F135 sustainment.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2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6,340</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6,659</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678</w:t>
            </w:r>
          </w:p>
        </w:tc>
        <w:tc>
          <w:tcPr>
            <w:tcW w:w="4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10.7 %</w:t>
            </w: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Defense Bookings</w:t>
            </w:r>
          </w:p>
        </w:tc>
        <w:tc>
          <w:tcPr>
            <w:tcW w:w="1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4,396</w:t>
            </w: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8,122</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500" w:type="dxa"/>
            <w:vAlign w:val="bottom"/>
            <w:gridSpan w:val="9"/>
          </w:tcPr>
          <w:p>
            <w:pPr>
              <w:jc w:val="right"/>
              <w:ind w:right="73"/>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2025 Compared with Quarter Ended March 31, 2024</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180" w:type="dxa"/>
            <w:vAlign w:val="bottom"/>
            <w:gridSpan w:val="2"/>
          </w:tcPr>
          <w:p>
            <w:pPr>
              <w:jc w:val="right"/>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Pr>
          <w:p>
            <w:pPr>
              <w:spacing w:after="0"/>
              <w:rPr>
                <w:sz w:val="17"/>
                <w:szCs w:val="17"/>
                <w:color w:val="auto"/>
              </w:rPr>
            </w:pPr>
          </w:p>
        </w:tc>
        <w:tc>
          <w:tcPr>
            <w:tcW w:w="118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8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net sales increase of $0.1 billion in the quarter ended March 31, 2025 compared to the quarter ended March 31, 2024 was primarily due to higher net sales of $0.3 billion from land and air defense systems programs primarily driven by higher net sales on international Patriot programs and Lower Tier Air and Missile Defense Sensor (LTAMDS) programs,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lower net sales of $0.2 billion driven by lower development program volume within air and space defense systems.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March 31, 2025 compared to the quarter ended March 31, 2024 was driven by a favorable change in mix and other performance of approximately $70 million primarily due to increased production on international Patriot programs with the remaining increase spread across numerous programs with no individual or common significant driver. In addition, favorable changes in net EAC adjustments and volume were modest contributors to the organic operating profit increase.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the quarter ended March 31, 2025 compared to the quarter ended March 31, 2024 primarily relates to the sale of the Cybersecurity, Intelligence and Services (CIS) business completed in the first quarter of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operating profit change of $0.4 billion in the quarter ended March 31, 2025 compared to the quarter ended March 31, 2024 is primarily due to the absence of the $0.4 billion gain on sale of the CIS business, net of transaction and other related costs, recorded in the first quarter of 2024.</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Defense Backlog and Bookings </w:t>
      </w:r>
      <w:r>
        <w:rPr>
          <w:rFonts w:ascii="Times New Roman" w:cs="Times New Roman" w:eastAsia="Times New Roman" w:hAnsi="Times New Roman"/>
          <w:sz w:val="18"/>
          <w:szCs w:val="18"/>
          <w:color w:val="auto"/>
        </w:rPr>
        <w:t>– Backlog was $61 billion as of March 31, 2025 and $63 billion as of December 31, 2024. In addition to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smaller bookings, in the quarter ended March 31, 2025, Raytheon booked $529 million to provide Patriot systems for the Netherlands, $251 million to provide Evolved SeaSparrow Missile (ESSM) for Japan, and $651 million on a number of classified contracts.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operations.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expenses and other unallocated items consists of costs not considered part of management’s evaluation of reportable segment operating performance, including certain unallowable costs and reserves.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gridSpan w:val="3"/>
          </w:tcPr>
          <w:p>
            <w:pPr>
              <w:spacing w:after="0"/>
              <w:rPr>
                <w:sz w:val="2"/>
                <w:szCs w:val="2"/>
                <w:color w:val="auto"/>
              </w:rPr>
            </w:pPr>
          </w:p>
        </w:tc>
      </w:tr>
      <w:tr>
        <w:trPr>
          <w:trHeight w:val="189"/>
        </w:trPr>
        <w:tc>
          <w:tcPr>
            <w:tcW w:w="5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(617)</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(38)</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net sales of $0.1 billion in the quarter ended March 31, 2025 compared to the quarter ended March 31, 2024, was primarily due to an increase in intersegment eliminations, principally driven by Collins.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and other operating profit in the quarter ended March 31, 2025 was relatively consistent with the quarter ended March 31, 2024.</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$0.1 billion in the quarter ended March 31, 2025 compared to the quarter ended March 31, 2024, was primarily due to an adjustment to reduce certain tax related indemnity receivables recorded in the first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(30)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215</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185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FAS/CAS operating adjustment in the quarter ended March 31, 2025 was relatively consistent with the quarter ended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 below-market contracts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405"/>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for the quarter ended March 31, 2025 were relatively consistent with the quarter ended March 31,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40" w:type="dxa"/>
            <w:vAlign w:val="bottom"/>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5,157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5,578</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4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41,300</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41,261</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63,307</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61,923</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340" w:type="dxa"/>
            <w:vAlign w:val="bottom"/>
          </w:tcPr>
          <w:p>
            <w:pPr>
              <w:spacing w:after="0"/>
              <w:rPr>
                <w:sz w:val="19"/>
                <w:szCs w:val="19"/>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104,607</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103,184</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3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commercial paper markets, adequacy of available bank lines of credit, redemptions of debt, and the ability to attract long-term capital at satisfactory terms.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we had cash and cash equivalents of $5.2 billion, of which approximately 38% 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access global debt markets and the related cost of these borrowings depends on the strength of our credit rating and market conditions. Our S&amp;P Global credit rating remains at BBB+/negative. In March 2025, our Moody’s Investors Service outlook improved from Baa1/negative to Baa1/stable. Though the Company expects to continue having adequate access to funds, declines in our credit ratings or Company outlook could result in higher borrowing costs.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had a revolving credit agreement with various banks permitting aggregate borrowings of up to $5.0 billion, which expires in August 2028. As of March 31, 2025, there were no borrowings outstanding under this agreement.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March 31, 2025, our maximum commercial paper borrowing limit was $5.0 billion as the commercial paper is backed by our $5.0 billion revolving credit agreement. At March 31, 2025, we had no commercial paper borrowings outstanding.</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 on September 22, 2022, for an indeterminate amount of debt and equity securities for future issuance, subject to our internal limitations on the amount of debt to be issued under this shelf registration statement.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1,305</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$1.0 billion increase in cash flows provided by operating activities in the quarter ended March 31, 2025 compared to in the quarter ended March 31, 2024, was primarily driven by the net change in contract assets and contract liabilities due to timing of collections and higher billings and a favorable change in accounts payable and accrued liabilities driven by timing of collaborator payables. These changes were partially offset by an increase in accounts receivable driven by timing of collections, partially offset by increased factoring activity as discussed below. Higher net income after adjustments for depreciation and amortization, deferred income tax provision (benefit), stock compensation cost, net periodic pension and other postretirement income, share-based matching 401(k) contributions, and gain on sale of business also contributed to the increase in net cash flows provided by operating activities.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Factoring activity resulted in a $0.5 billion increase in cash provided by operating activities during the quarter ended March 31, 2025 compared to during the quarter ended March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net tax payments of $145 million and $129 million in the quarters ended March 31, 2025 and 2024, respectively.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2025 cash impact related to the Powder Metal Matter of approximately $1.1 billion to $1.3 billion, which includes the impact of cash paid, customer credits applied, and the timing of partner recovery.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 investing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(678)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$1.4 billion change in cash flows (used in) provided by investing activities in the quarter ended March 31, 2025, compared to the quarter ended March 31, 2024, was primarily related to the sale of the CIS business during the quarter ended March 31, 2024 for proceeds of approximately $1.3 billion in cash.</w:t>
      </w:r>
    </w:p>
    <w:p>
      <w:pPr>
        <w:spacing w:after="0" w:line="2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quarters ended March 31, 2025 and 2024, other intangible assets increased by $0.1 billion and $0.2 billion, respectively, primarily related to collaboration payments made under our 2012 agreement to acquire Rolls-Royce’s collaboration interests in International Aero Engines AG (IAE) and exclusivity payments made on contractual commitments included within intangible assets.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(1,056)</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commercial paper and other short-term and long-term debt, payment of dividends, and stock repurchases.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$1.0 billion decrease in cash flows used in financing activities in the quarter ended March 31, 2025, compared to the quarter ended March 31, 2024, was primarily driven by a decrease in long-term debt repayments of $0.9 billion. Refer to “Note 9: Borrowings and Lines of Credit” within Item 1 of this Form 10-Q for additional information on debt repayments.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management had remaining authority to repurchase approximately $0.6 billion of our common stock under the October 21, 2023 share repurchase program.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which include shares reacquired outside of our share repurchase program,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80" w:type="dxa"/>
            <w:vAlign w:val="bottom"/>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96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6"/>
        </w:trPr>
        <w:tc>
          <w:tcPr>
            <w:tcW w:w="6280" w:type="dxa"/>
            <w:vAlign w:val="bottom"/>
            <w:tcBorders>
              <w:bottom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50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Amounts relate to share repurchases that were settled in cash during the period.</w:t>
      </w:r>
    </w:p>
    <w:p>
      <w:pPr>
        <w:spacing w:after="0" w:line="2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quarter ended March 31, 2025. For discussion of our exposure to market risk, refer to Part II, Item 7A, “Quantitative and Qualitative Disclosures About Market Risk,” contained in our 2024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March 31, 2025.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CFO, and Controller concluded that, as of March 31, 2025,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 w:lineRule="exact"/>
        <w:rPr>
          <w:sz w:val="20"/>
          <w:szCs w:val="20"/>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and including changes related to financial market conditions, banking industry disruptions, fluctuations in commodity prices or supply (including energy supply), inflation, interest rates and foreign currency exchange rates, disruptions in global supply chain and labor markets, levels of consumer and business confidence, the imposition and duration of tariffs (including counter tariffs) and other trade measures and the inability of RTX to mitigate U.S. tariffs including by exemptions, exclusions, operational changes or otherwise, and geopolitical risks, including, without limitation, in the Middle East and Ukraine;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a continuing resolution, a government shutdown, the debt ceiling or measures taken to avoid default, or otherwise, and uncertain funding of programs;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performance on our contracts and programs, including our ability to control costs, the mix of our contracts and programs, and our inability to pass some or all of our costs on fixed price contracts to the customer, and risks related to our dependence on U.S. government approvals for international contracts;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certification,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 both domestically and abroad;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reliance on U.S. and non-U.S. suppliers and commodity markets, including the effect of sanctions, tariffs (and counter tariffs) and other trade measures and the duration thereof, delays, and disruptions in the delivery of materials and services to RTX or its suppliers and cost increases, and the inability of RTX to mitigate U.S. tariffs including by exemptions, exclusions, operational changes or otherwise;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international operations from, among other things, changes in trade policies and implementation of sanctions, foreign currency fluctuations, economic conditions, political factors, sales methods, U.S. or local government regulations, and our dependence on U.S. government approvals for international contracts;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U.S. government policy positions, including changes in Department of Defense (DoD) policies or priorities;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RTX to attract, train, qualify, and retain qualified personnel and maintain its culture and high ethical standards, and the ability of our personnel to continue to operate our facilities and businesses around the world;</w:t>
      </w: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(including the pending disposition of Collins' actuation and flight control business), and other transactions, including the realization of synergies and opportunities for growth and innovation, the assumption of liabilities, and other risks and incurrence of related costs and expenses, and risks related to completion of announced divestitures;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obtaining regulatory approvals for new technologies and products, and export and import requirements such as International Traffic in Arms Regulations (ITAR) and Export Administration Regulations (EAR), anti-bribery and anticorruption requirements, such as the Foreign Corrupt Practices Act (FCPA), industrial cooperation agreement obligations, and procurement and other regulations in the U.S. and other countries in which RTX and its businesses operate;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44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and the potential for suspension or debarment of U.S. government contracting or export privileges as a result thereof;</w:t>
      </w:r>
    </w:p>
    <w:p>
      <w:pPr>
        <w:spacing w:after="0" w:line="1" w:lineRule="exact"/>
        <w:rPr>
          <w:rFonts w:ascii="Times New Roman" w:cs="Times New Roman" w:eastAsia="Times New Roman" w:hAnsi="Times New Roman"/>
          <w:sz w:val="18"/>
          <w:szCs w:val="18"/>
          <w:color w:val="auto"/>
        </w:rPr>
      </w:pPr>
    </w:p>
    <w:p>
      <w:pPr>
        <w:ind w:left="660" w:right="4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Deferred Prosecution Agreements, Securities and Exchange Commission (SEC) Administrative Order, the Consent Agreement; and the related investigations by the SEC and the Department of Justice (DOJ);</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RTX’s ability to engage in desirable capital-raising or strategic transactions, including its credit rating, capital structure, levels of indebtedness, and related obligations, capital expenditures, and research and development spending, and capital deployment strategy including with respect to share repurchases, and the availability of credit, borrowing costs, credit market conditions, and other factors;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RTX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incurring costs for, and successfully managing strategic initiatives such as cost reduction, restructuring, digital transformation, and other operational initiatives;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RTX and its businesses operate;</w:t>
      </w: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addressing the Powder Metal Matter, including, without limitation, the number and expected timing of shop visits, inspection results and scope of work to be performed, turnaround time, availability of parts, available capacity at overhaul facilities, outcomes of negotiations with impacted customers, and risks related to other engine models that may be impacted by the Powder Metal Matter, and in each case the timing and costs relating thereto, as well as other issues that could impact RTX product performance, including quality, reliability, or durability;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volumes of one or more of our significant customers as a result of business, labor, or other challenges, and the resulting effect on its or their demand for our products and services;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RTX product safety failure, quality issue, or other failure affecting RTX’s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including cyber-attacks on RTX’s information technology (IT) infrastructure, products, suppliers, customers and partners, and cybersecurity-related regulations;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insufficient indemnity or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intellectual property and certain third-party intellectual property;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to RTX facilities and personnel, or those of its suppliers or customers, as well as other events outside of RTX’s control that may affect RTX or its suppliers or customers, including without limitation public health crises, damaging weather, or other acts of nature;</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and other internal restructurings as tax-free to us (formerly known as United Technologies Corporation (UTC)) and former UTC shareowners, in each case, for U.S. federal income tax purposes.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“Liquidity and Financial Condition,”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Commitments and Contingencies” within Item 1 of this Form 10-Q for a discussion regarding additional material legal proceedings.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2024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2024 Annual Report on Form 10-K (2024 Form 10-K). There have been no material changes from the factors disclosed in our 2024 Form 10-K, although we may disclose changes to such factors or disclose additional factors from time to time in our future filings with the Securities and Exchange Commission (SEC).</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March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600" w:type="dxa"/>
            <w:vAlign w:val="bottom"/>
          </w:tcPr>
          <w:p>
            <w:pPr>
              <w:spacing w:after="0"/>
              <w:rPr>
                <w:sz w:val="12"/>
                <w:szCs w:val="12"/>
                <w:color w:val="auto"/>
              </w:rPr>
            </w:pPr>
          </w:p>
        </w:tc>
        <w:tc>
          <w:tcPr>
            <w:tcW w:w="2460" w:type="dxa"/>
            <w:vAlign w:val="bottom"/>
            <w:vMerge w:val="restart"/>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8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60" w:type="dxa"/>
            <w:vAlign w:val="bottom"/>
          </w:tcPr>
          <w:p>
            <w:pPr>
              <w:jc w:val="center"/>
              <w:ind w:left="43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60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24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246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spacing w:after="0"/>
              <w:rPr>
                <w:sz w:val="19"/>
                <w:szCs w:val="19"/>
                <w:color w:val="auto"/>
              </w:rPr>
            </w:pPr>
          </w:p>
        </w:tc>
        <w:tc>
          <w:tcPr>
            <w:tcW w:w="17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126.41</w:t>
            </w:r>
          </w:p>
        </w:tc>
        <w:tc>
          <w:tcPr>
            <w:tcW w:w="2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24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126.41</w:t>
            </w:r>
          </w:p>
        </w:tc>
        <w:tc>
          <w:tcPr>
            <w:tcW w:w="2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reacquire shares outside of the program in connection with the surrender of shares to cover taxes on vesting of restricted stock. Our ability to repurchase shares is subject to applicable law. During the quarter ended March 31, 2025, we did not repurchase shares outside of the program.</w:t>
      </w:r>
    </w:p>
    <w:p>
      <w:pPr>
        <w:spacing w:after="0" w:line="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 director or “officer” (as defined in Rule 16a-1(f))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6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8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2025 Schedule of Terms for restricted stock unit awards relating to the RTX Corporation Long-Term Incentive Plan, as amended and</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2025 Schedule of Terms for performance share unit awards relating to the RTX Corporation Long-Term Incentive Plan, as amended and</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restated.*</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2025 Schedule of Terms for stock appreciation right awards relating to the RTX Corporation Long-Term Incentive Plan, as amended and</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restated.*</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2025 Schedule of Terms for stock option awards relating to the RTX Corporation Long-Term Incentive Plan, as amended and restated.*</w:t>
            </w: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Borders>
              <w:top w:val="single" w:sz="8" w:color="0000FF"/>
            </w:tcBorders>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060" w:type="dxa"/>
            <w:vAlign w:val="bottom"/>
            <w:tcBorders>
              <w:top w:val="single" w:sz="8" w:color="0000FF"/>
            </w:tcBorders>
          </w:tcPr>
          <w:p>
            <w:pPr>
              <w:spacing w:after="0"/>
              <w:rPr>
                <w:sz w:val="22"/>
                <w:szCs w:val="22"/>
                <w:color w:val="auto"/>
              </w:rPr>
            </w:pPr>
          </w:p>
        </w:tc>
        <w:tc>
          <w:tcPr>
            <w:tcW w:w="4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0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RTX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April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April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10.1</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RTX Corporation</w:t>
      </w:r>
    </w:p>
    <w:p>
      <w:pPr>
        <w:jc w:val="center"/>
        <w:spacing w:after="0"/>
        <w:rPr>
          <w:sz w:val="20"/>
          <w:szCs w:val="20"/>
          <w:color w:val="auto"/>
        </w:rPr>
      </w:pPr>
      <w:r>
        <w:rPr>
          <w:rFonts w:ascii="Arial" w:cs="Arial" w:eastAsia="Arial" w:hAnsi="Arial"/>
          <w:sz w:val="22"/>
          <w:szCs w:val="22"/>
          <w:b w:val="1"/>
          <w:bCs w:val="1"/>
          <w:color w:val="221E1F"/>
        </w:rPr>
        <w:t>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Restricted Stock Unit Award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 xml:space="preserve">This Schedule of Terms describes the material features of the Participant’s Restricted Stock Unit Award (the “RSU Award” or the “Award”) granted under the RTX Corporation Long-Term Incentive Plan, as amended and restated effective May 2, 2024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color w:val="221E1F"/>
        </w:rPr>
        <w:t>Certain Definitions</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221E1F"/>
        </w:rPr>
        <w:t xml:space="preserve">A Restricted Stock Unit (an “RSU”) represents the right to receive one share of Common Stock of RTX </w:t>
      </w:r>
      <w:r>
        <w:rPr>
          <w:rFonts w:ascii="Arial" w:cs="Arial" w:eastAsia="Arial" w:hAnsi="Arial"/>
          <w:sz w:val="19"/>
          <w:szCs w:val="19"/>
          <w:color w:val="000000"/>
        </w:rPr>
        <w:t>Corporation</w:t>
      </w:r>
      <w:r>
        <w:rPr>
          <w:rFonts w:ascii="Arial" w:cs="Arial" w:eastAsia="Arial" w:hAnsi="Arial"/>
          <w:sz w:val="19"/>
          <w:szCs w:val="19"/>
          <w:color w:val="221E1F"/>
        </w:rPr>
        <w:t xml:space="preserve"> (the “Common Stock”) (or a cash payment equal to the Fair Market Value thereof). RSUs generally vest and are converted into shares of Common Stock if the Participant remains employed by the Company through the applicable vesting date schedule set forth in the Award Agreement (see “Vesting” below), or upon an earlier Termination of Service under limited circumstances that result in accelerated vesting (see “Termination of Service” below). </w:t>
      </w:r>
      <w:r>
        <w:rPr>
          <w:rFonts w:ascii="Arial" w:cs="Arial" w:eastAsia="Arial" w:hAnsi="Arial"/>
          <w:sz w:val="19"/>
          <w:szCs w:val="19"/>
          <w:color w:val="000000"/>
        </w:rPr>
        <w:t>“Company” means RTX Corporation (the “Corporation” or</w:t>
      </w:r>
      <w:r>
        <w:rPr>
          <w:rFonts w:ascii="Arial" w:cs="Arial" w:eastAsia="Arial" w:hAnsi="Arial"/>
          <w:sz w:val="19"/>
          <w:szCs w:val="19"/>
          <w:color w:val="221E1F"/>
        </w:rPr>
        <w:t xml:space="preserve"> </w:t>
      </w:r>
      <w:r>
        <w:rPr>
          <w:rFonts w:ascii="Arial" w:cs="Arial" w:eastAsia="Arial" w:hAnsi="Arial"/>
          <w:sz w:val="19"/>
          <w:szCs w:val="19"/>
          <w:color w:val="000000"/>
        </w:rPr>
        <w:t xml:space="preserve">“RTX”),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 w:cs="Arial" w:eastAsia="Arial" w:hAnsi="Arial"/>
          <w:sz w:val="19"/>
          <w:szCs w:val="19"/>
          <w:color w:val="221E1F"/>
        </w:rPr>
        <w:t>the Human Capital &amp; Compensation Committee of the Board of Directors of the Corporation.</w:t>
      </w:r>
      <w:r>
        <w:rPr>
          <w:rFonts w:ascii="Arial" w:cs="Arial" w:eastAsia="Arial" w:hAnsi="Arial"/>
          <w:sz w:val="19"/>
          <w:szCs w:val="19"/>
          <w:color w:val="000000"/>
        </w:rPr>
        <w:t xml:space="preserve"> Capitalized terms not otherwise defined in this Schedule of Terms have the same meaning as defined in the LTIP.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04"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The number of RSUs granted under the RSU Award is set forth in the Award Agreement. An LTIP Award recipient (a “Participant”) must affirmatively acknowledge and accept the terms and conditions of the RSU Award within 150 days following the Grant Date. A failure to acknowledge and accept the RSU Award subject to the LTIP and this Schedule of Terms, within such 150-day period may result in forfeiture of the RSU Award, effective as of the 150th day following the Grant Date.</w:t>
      </w:r>
    </w:p>
    <w:p>
      <w:pPr>
        <w:spacing w:after="0" w:line="187"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Participants must acknowledge and accept the terms and conditions of this RSU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 w:cs="Arial" w:eastAsia="Arial" w:hAnsi="Arial"/>
          <w:sz w:val="20"/>
          <w:szCs w:val="20"/>
          <w:color w:val="221E1F"/>
        </w:rPr>
        <w:t>These countries currently include Russia, Turkey, Hungary, and Slovenia.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Dividends</w:t>
      </w:r>
    </w:p>
    <w:p>
      <w:pPr>
        <w:spacing w:after="0" w:line="218"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221E1F"/>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18" w:lineRule="exact"/>
        <w:rPr>
          <w:sz w:val="20"/>
          <w:szCs w:val="20"/>
          <w:color w:val="auto"/>
        </w:rPr>
      </w:pPr>
    </w:p>
    <w:p>
      <w:pPr>
        <w:ind w:right="640"/>
        <w:spacing w:after="0" w:line="248" w:lineRule="auto"/>
        <w:rPr>
          <w:sz w:val="20"/>
          <w:szCs w:val="20"/>
          <w:color w:val="auto"/>
        </w:rPr>
      </w:pPr>
      <w:r>
        <w:rPr>
          <w:rFonts w:ascii="Arial" w:cs="Arial" w:eastAsia="Arial" w:hAnsi="Arial"/>
          <w:sz w:val="20"/>
          <w:szCs w:val="20"/>
          <w:color w:val="221E1F"/>
        </w:rPr>
        <w:t>RSUs will vest in accordance with the schedule set forth in the Award Agreement, subject to the Participant’s continued employment with the Company through each applicable vesting date. RSUs will be forfeited in the event of Termination of Service prior to the vesting date, except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2" w:right="339" w:bottom="1440" w:gutter="0" w:footer="0" w:header="0"/>
        </w:sectPr>
      </w:pPr>
    </w:p>
    <w:bookmarkStart w:id="52" w:name="page53"/>
    <w:bookmarkEnd w:id="52"/>
    <w:p>
      <w:pPr>
        <w:ind w:right="880"/>
        <w:spacing w:after="0" w:line="257" w:lineRule="auto"/>
        <w:rPr>
          <w:sz w:val="20"/>
          <w:szCs w:val="20"/>
          <w:color w:val="auto"/>
        </w:rPr>
      </w:pPr>
      <w:r>
        <w:rPr>
          <w:rFonts w:ascii="Arial" w:cs="Arial" w:eastAsia="Arial" w:hAnsi="Arial"/>
          <w:sz w:val="20"/>
          <w:szCs w:val="20"/>
          <w:color w:val="221E1F"/>
        </w:rPr>
        <w:t>certain earlier terminations involving Retirement, Involuntary Termination (Not for Cause), Disability, Change-in-Control Termination, or Death (see “Termination of Service” below).</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RSUs may also be forfeited and value realized from previously vested RSUs may be recouped by the Company under certain circumstances (see “Forfeiture of Award and Repayment of Realized Gains” below).</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04"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221E1F"/>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RSUs</w:t>
      </w:r>
    </w:p>
    <w:p>
      <w:pPr>
        <w:spacing w:after="0" w:line="218"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221E1F"/>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20"/>
          <w:szCs w:val="20"/>
          <w:color w:val="221E1F"/>
        </w:rPr>
        <w:t>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w:t>
      </w:r>
    </w:p>
    <w:p>
      <w:pPr>
        <w:spacing w:after="0" w:line="178"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67"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RSUs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convert into shares of Common Stock (or cash) to be delivered to the Participant as soon as administratively practicable thereafter. For this purpose, Retirement means either Normal Retirement or Early Retirement as defined below:</w:t>
      </w:r>
    </w:p>
    <w:p>
      <w:pPr>
        <w:spacing w:after="0" w:line="172"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14" w:lineRule="exact"/>
        <w:rPr>
          <w:rFonts w:ascii="Times New Roman" w:cs="Times New Roman" w:eastAsia="Times New Roman" w:hAnsi="Times New Roman"/>
          <w:sz w:val="20"/>
          <w:szCs w:val="20"/>
          <w:color w:val="221E1F"/>
        </w:rPr>
      </w:pPr>
    </w:p>
    <w:p>
      <w:pPr>
        <w:ind w:left="700" w:hanging="368"/>
        <w:spacing w:after="0"/>
        <w:tabs>
          <w:tab w:leader="none" w:pos="700" w:val="left"/>
        </w:tabs>
        <w:numPr>
          <w:ilvl w:val="0"/>
          <w:numId w:val="14"/>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01" w:lineRule="exact"/>
        <w:rPr>
          <w:sz w:val="20"/>
          <w:szCs w:val="20"/>
          <w:color w:val="auto"/>
        </w:rPr>
      </w:pPr>
    </w:p>
    <w:p>
      <w:pPr>
        <w:ind w:left="1300" w:hanging="320"/>
        <w:spacing w:after="0"/>
        <w:tabs>
          <w:tab w:leader="none" w:pos="1300" w:val="left"/>
        </w:tabs>
        <w:numPr>
          <w:ilvl w:val="0"/>
          <w:numId w:val="15"/>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211" w:lineRule="exact"/>
        <w:rPr>
          <w:rFonts w:ascii="Courier New" w:cs="Courier New" w:eastAsia="Courier New" w:hAnsi="Courier New"/>
          <w:sz w:val="20"/>
          <w:szCs w:val="20"/>
          <w:color w:val="221E1F"/>
        </w:rPr>
      </w:pPr>
    </w:p>
    <w:p>
      <w:pPr>
        <w:ind w:left="1300" w:right="160" w:hanging="320"/>
        <w:spacing w:after="0" w:line="253" w:lineRule="auto"/>
        <w:tabs>
          <w:tab w:leader="none" w:pos="1300" w:val="left"/>
        </w:tabs>
        <w:numPr>
          <w:ilvl w:val="0"/>
          <w:numId w:val="15"/>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71"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defined under the RTX Savings Plan. The calculation to determine Early Retirement will include partial years, rounded down to the nearest full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53" w:name="page54"/>
    <w:bookmarkEnd w:id="53"/>
    <w:p>
      <w:pPr>
        <w:ind w:right="580"/>
        <w:spacing w:after="0" w:line="271"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5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RSUs will be forfeited as of the Termination Date regardless of the Participant’s Retirement eligibility. In addition, awards may be forfeited and the value realized from previously vested RSUs may be subject to repayment in the event of termination for Cause or certain other occurrences (see “Forfeiture of Award and Repayment of Realized Gains” and “Company Compliance Policies” below).</w:t>
      </w:r>
    </w:p>
    <w:p>
      <w:pPr>
        <w:spacing w:after="0" w:line="201"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RSUs held for at least one year as of the Termination Date will receive pro-rata vesting treatment, subject to the Participant providing the Company with a release of claims against the Company in a form and manner satisfactory to the Company. The pro-rata 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 w:cs="Arial" w:eastAsia="Arial" w:hAnsi="Arial"/>
          <w:sz w:val="20"/>
          <w:szCs w:val="20"/>
          <w:color w:val="000000"/>
        </w:rPr>
        <w:t>as of the</w:t>
      </w:r>
      <w:r>
        <w:rPr>
          <w:rFonts w:ascii="Arial" w:cs="Arial" w:eastAsia="Arial" w:hAnsi="Arial"/>
          <w:sz w:val="20"/>
          <w:szCs w:val="20"/>
          <w:color w:val="221E1F"/>
        </w:rPr>
        <w:t xml:space="preserve"> Termination </w:t>
      </w:r>
      <w:r>
        <w:rPr>
          <w:rFonts w:ascii="Arial" w:cs="Arial" w:eastAsia="Arial" w:hAnsi="Arial"/>
          <w:sz w:val="20"/>
          <w:szCs w:val="20"/>
          <w:color w:val="000000"/>
        </w:rPr>
        <w:t>Date</w:t>
      </w:r>
      <w:r>
        <w:rPr>
          <w:rFonts w:ascii="Arial" w:cs="Arial" w:eastAsia="Arial" w:hAnsi="Arial"/>
          <w:sz w:val="20"/>
          <w:szCs w:val="20"/>
          <w:color w:val="221E1F"/>
        </w:rPr>
        <w:t>.</w:t>
      </w:r>
    </w:p>
    <w:p>
      <w:pPr>
        <w:spacing w:after="0" w:line="204"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183" w:lineRule="exact"/>
        <w:rPr>
          <w:sz w:val="20"/>
          <w:szCs w:val="20"/>
          <w:color w:val="auto"/>
        </w:rPr>
      </w:pPr>
    </w:p>
    <w:p>
      <w:pPr>
        <w:ind w:right="480"/>
        <w:spacing w:after="0" w:line="286" w:lineRule="auto"/>
        <w:rPr>
          <w:sz w:val="20"/>
          <w:szCs w:val="20"/>
          <w:color w:val="auto"/>
        </w:rPr>
      </w:pPr>
      <w:r>
        <w:rPr>
          <w:rFonts w:ascii="Arial" w:cs="Arial" w:eastAsia="Arial" w:hAnsi="Arial"/>
          <w:sz w:val="20"/>
          <w:szCs w:val="20"/>
          <w:color w:val="auto"/>
        </w:rPr>
        <w:t>Pro-rata vesting will occur for involuntary terminations resulting from workforce reductions, location closings, restructurings, layoffs</w:t>
      </w:r>
      <w:r>
        <w:rPr>
          <w:rFonts w:ascii="Arial" w:cs="Arial" w:eastAsia="Arial" w:hAnsi="Arial"/>
          <w:sz w:val="20"/>
          <w:szCs w:val="20"/>
          <w:color w:val="221E1F"/>
        </w:rPr>
        <w:t>,</w:t>
      </w:r>
      <w:r>
        <w:rPr>
          <w:rFonts w:ascii="Arial" w:cs="Arial" w:eastAsia="Arial" w:hAnsi="Arial"/>
          <w:sz w:val="20"/>
          <w:szCs w:val="20"/>
          <w:color w:val="auto"/>
        </w:rPr>
        <w:t xml:space="preserve"> or similar events, as determined by the Committee </w:t>
      </w:r>
      <w:r>
        <w:rPr>
          <w:rFonts w:ascii="Arial" w:cs="Arial" w:eastAsia="Arial" w:hAnsi="Arial"/>
          <w:sz w:val="20"/>
          <w:szCs w:val="20"/>
          <w:color w:val="221E1F"/>
        </w:rPr>
        <w:t>or its delegate</w:t>
      </w:r>
      <w:r>
        <w:rPr>
          <w:rFonts w:ascii="Arial" w:cs="Arial" w:eastAsia="Arial" w:hAnsi="Arial"/>
          <w:sz w:val="20"/>
          <w:szCs w:val="20"/>
          <w:color w:val="auto"/>
        </w:rPr>
        <w:t>.</w:t>
      </w:r>
    </w:p>
    <w:p>
      <w:pPr>
        <w:spacing w:after="0" w:line="140" w:lineRule="exact"/>
        <w:rPr>
          <w:sz w:val="20"/>
          <w:szCs w:val="20"/>
          <w:color w:val="auto"/>
        </w:rPr>
      </w:pPr>
    </w:p>
    <w:p>
      <w:pPr>
        <w:jc w:val="both"/>
        <w:ind w:right="680"/>
        <w:spacing w:after="0" w:line="255" w:lineRule="auto"/>
        <w:rPr>
          <w:sz w:val="20"/>
          <w:szCs w:val="20"/>
          <w:color w:val="auto"/>
        </w:rPr>
      </w:pPr>
      <w:r>
        <w:rPr>
          <w:rFonts w:ascii="Arial" w:cs="Arial" w:eastAsia="Arial" w:hAnsi="Arial"/>
          <w:sz w:val="20"/>
          <w:szCs w:val="20"/>
          <w:color w:val="auto"/>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196"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prior to the vesting date is not entitled to pro-rata vesting and will forfeit all unvested RSUs.</w:t>
      </w:r>
    </w:p>
    <w:p>
      <w:pPr>
        <w:spacing w:after="0" w:line="150"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RSUs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remains disabled under a Company sponsored long-term disability plan. </w:t>
      </w:r>
      <w:r>
        <w:rPr>
          <w:rFonts w:ascii="Arial" w:cs="Arial" w:eastAsia="Arial" w:hAnsi="Arial"/>
          <w:sz w:val="20"/>
          <w:szCs w:val="20"/>
          <w:color w:val="000000"/>
        </w:rPr>
        <w:t>Unvested RSUs will remain eligible to vest on the</w:t>
      </w:r>
      <w:r>
        <w:rPr>
          <w:rFonts w:ascii="Arial" w:cs="Arial" w:eastAsia="Arial" w:hAnsi="Arial"/>
          <w:sz w:val="20"/>
          <w:szCs w:val="20"/>
          <w:color w:val="221E1F"/>
        </w:rPr>
        <w:t xml:space="preserve"> </w:t>
      </w:r>
      <w:r>
        <w:rPr>
          <w:rFonts w:ascii="Arial" w:cs="Arial" w:eastAsia="Arial" w:hAnsi="Arial"/>
          <w:sz w:val="20"/>
          <w:szCs w:val="20"/>
          <w:color w:val="000000"/>
        </w:rPr>
        <w:t>earlier of (</w:t>
      </w:r>
      <w:r>
        <w:rPr>
          <w:rFonts w:ascii="Arial" w:cs="Arial" w:eastAsia="Arial" w:hAnsi="Arial"/>
          <w:sz w:val="20"/>
          <w:szCs w:val="20"/>
          <w:color w:val="221E1F"/>
        </w:rPr>
        <w:t>i</w:t>
      </w:r>
      <w:r>
        <w:rPr>
          <w:rFonts w:ascii="Arial" w:cs="Arial" w:eastAsia="Arial" w:hAnsi="Arial"/>
          <w:sz w:val="20"/>
          <w:szCs w:val="20"/>
          <w:color w:val="000000"/>
        </w:rPr>
        <w:t>) the vesting date specified in the Award Agreement; or (</w:t>
      </w:r>
      <w:r>
        <w:rPr>
          <w:rFonts w:ascii="Arial" w:cs="Arial" w:eastAsia="Arial" w:hAnsi="Arial"/>
          <w:sz w:val="20"/>
          <w:szCs w:val="20"/>
          <w:color w:val="221E1F"/>
        </w:rPr>
        <w:t>ii</w:t>
      </w:r>
      <w:r>
        <w:rPr>
          <w:rFonts w:ascii="Arial" w:cs="Arial" w:eastAsia="Arial" w:hAnsi="Arial"/>
          <w:sz w:val="20"/>
          <w:szCs w:val="20"/>
          <w:color w:val="000000"/>
        </w:rPr>
        <w:t>) 29 months following the date a Participant incurs a Disability.</w:t>
      </w:r>
    </w:p>
    <w:p>
      <w:pPr>
        <w:spacing w:after="0" w:line="170"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b w:val="1"/>
          <w:bCs w:val="1"/>
          <w:color w:val="auto"/>
        </w:rPr>
        <w:t xml:space="preserve">Authorized Leave of Absence (excluding Personal Leave). </w:t>
      </w:r>
      <w:r>
        <w:rPr>
          <w:rFonts w:ascii="Arial" w:cs="Arial" w:eastAsia="Arial" w:hAnsi="Arial"/>
          <w:sz w:val="20"/>
          <w:szCs w:val="20"/>
          <w:color w:val="auto"/>
        </w:rPr>
        <w:t>If a</w:t>
      </w:r>
      <w:r>
        <w:rPr>
          <w:rFonts w:ascii="Arial" w:cs="Arial" w:eastAsia="Arial" w:hAnsi="Arial"/>
          <w:sz w:val="20"/>
          <w:szCs w:val="20"/>
          <w:b w:val="1"/>
          <w:bCs w:val="1"/>
          <w:color w:val="auto"/>
        </w:rPr>
        <w:t xml:space="preserve"> </w:t>
      </w:r>
      <w:r>
        <w:rPr>
          <w:rFonts w:ascii="Arial" w:cs="Arial" w:eastAsia="Arial" w:hAnsi="Arial"/>
          <w:sz w:val="20"/>
          <w:szCs w:val="20"/>
          <w:color w:val="221E1F"/>
        </w:rPr>
        <w:t>Participant is on a Company authorized leave of absence</w:t>
      </w:r>
      <w:r>
        <w:rPr>
          <w:rFonts w:ascii="Arial" w:cs="Arial" w:eastAsia="Arial" w:hAnsi="Arial"/>
          <w:sz w:val="20"/>
          <w:szCs w:val="20"/>
          <w:b w:val="1"/>
          <w:bCs w:val="1"/>
          <w:color w:val="auto"/>
        </w:rPr>
        <w:t xml:space="preserve"> </w:t>
      </w:r>
      <w:r>
        <w:rPr>
          <w:rFonts w:ascii="Arial" w:cs="Arial" w:eastAsia="Arial" w:hAnsi="Arial"/>
          <w:sz w:val="20"/>
          <w:szCs w:val="20"/>
          <w:color w:val="221E1F"/>
        </w:rPr>
        <w:t>(</w:t>
      </w:r>
      <w:r>
        <w:rPr>
          <w:rFonts w:ascii="Arial" w:cs="Arial" w:eastAsia="Arial" w:hAnsi="Arial"/>
          <w:sz w:val="20"/>
          <w:szCs w:val="20"/>
          <w:color w:val="000000"/>
        </w:rPr>
        <w:t>FMLA, Medical, Military, Parental leave, etc.</w:t>
      </w:r>
      <w:r>
        <w:rPr>
          <w:rFonts w:ascii="Arial" w:cs="Arial" w:eastAsia="Arial" w:hAnsi="Arial"/>
          <w:sz w:val="20"/>
          <w:szCs w:val="20"/>
          <w:color w:val="221E1F"/>
        </w:rPr>
        <w:t>) that is not associated with a Termination of Service, unvested RSUs will remain eligible to vest during the period of leave, subject to the Participant’s continued employment with the Company through the vesting date</w:t>
      </w:r>
      <w:r>
        <w:rPr>
          <w:rFonts w:ascii="Arial" w:cs="Arial" w:eastAsia="Arial" w:hAnsi="Arial"/>
          <w:sz w:val="20"/>
          <w:szCs w:val="20"/>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 Leave of Absence.</w:t>
      </w:r>
    </w:p>
    <w:p>
      <w:pPr>
        <w:spacing w:after="0" w:line="20" w:lineRule="exact"/>
        <w:rPr>
          <w:sz w:val="20"/>
          <w:szCs w:val="20"/>
          <w:color w:val="auto"/>
        </w:rPr>
      </w:pPr>
    </w:p>
    <w:p>
      <w:pPr>
        <w:ind w:right="540"/>
        <w:spacing w:after="0" w:line="253" w:lineRule="auto"/>
        <w:rPr>
          <w:sz w:val="20"/>
          <w:szCs w:val="20"/>
          <w:color w:val="auto"/>
        </w:rPr>
      </w:pPr>
      <w:r>
        <w:rPr>
          <w:rFonts w:ascii="Arial" w:cs="Arial" w:eastAsia="Arial" w:hAnsi="Arial"/>
          <w:sz w:val="20"/>
          <w:szCs w:val="20"/>
          <w:color w:val="auto"/>
        </w:rPr>
        <w:t>A personal leave of absence is an unpaid leave of absence not otherwise covered under other authorized leave policies. A P</w:t>
      </w:r>
      <w:r>
        <w:rPr>
          <w:rFonts w:ascii="Arial" w:cs="Arial" w:eastAsia="Arial" w:hAnsi="Arial"/>
          <w:sz w:val="20"/>
          <w:szCs w:val="20"/>
          <w:color w:val="221E1F"/>
        </w:rPr>
        <w:t>articipant who is on an extended personal leave of absence during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3</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54" w:name="page55"/>
    <w:bookmarkEnd w:id="54"/>
    <w:p>
      <w:pPr>
        <w:spacing w:after="0" w:line="251" w:lineRule="auto"/>
        <w:rPr>
          <w:sz w:val="20"/>
          <w:szCs w:val="20"/>
          <w:color w:val="auto"/>
        </w:rPr>
      </w:pPr>
      <w:r>
        <w:rPr>
          <w:rFonts w:ascii="Arial" w:cs="Arial" w:eastAsia="Arial" w:hAnsi="Arial"/>
          <w:sz w:val="20"/>
          <w:szCs w:val="20"/>
          <w:color w:val="221E1F"/>
        </w:rPr>
        <w:t xml:space="preserve">the vesting period (&gt; six (6) months) and who has not returned to active service as of the vesting date will forfeit their RSU award. The Participant may dispute the forfeiture by submitting a detailed exception request to </w:t>
      </w:r>
      <w:r>
        <w:rPr>
          <w:rFonts w:ascii="Arial" w:cs="Arial" w:eastAsia="Arial" w:hAnsi="Arial"/>
          <w:sz w:val="20"/>
          <w:szCs w:val="20"/>
          <w:color w:val="000000"/>
        </w:rPr>
        <w:t>the RTX Stock Plan</w:t>
      </w:r>
      <w:r>
        <w:rPr>
          <w:rFonts w:ascii="Arial" w:cs="Arial" w:eastAsia="Arial" w:hAnsi="Arial"/>
          <w:sz w:val="20"/>
          <w:szCs w:val="20"/>
          <w:color w:val="221E1F"/>
        </w:rPr>
        <w:t xml:space="preserve"> </w:t>
      </w:r>
      <w:r>
        <w:rPr>
          <w:rFonts w:ascii="Arial" w:cs="Arial" w:eastAsia="Arial" w:hAnsi="Arial"/>
          <w:sz w:val="20"/>
          <w:szCs w:val="20"/>
          <w:color w:val="000000"/>
        </w:rPr>
        <w:t xml:space="preserve">Administrator at: </w:t>
      </w:r>
      <w:r>
        <w:rPr>
          <w:rFonts w:ascii="Arial" w:cs="Arial" w:eastAsia="Arial" w:hAnsi="Arial"/>
          <w:sz w:val="20"/>
          <w:szCs w:val="20"/>
          <w:u w:val="single" w:color="auto"/>
          <w:color w:val="0000FF"/>
        </w:rPr>
        <w:t>rtxstockadmin@rtx.com</w:t>
      </w:r>
      <w:r>
        <w:rPr>
          <w:rFonts w:ascii="Arial" w:cs="Arial" w:eastAsia="Arial" w:hAnsi="Arial"/>
          <w:sz w:val="20"/>
          <w:szCs w:val="20"/>
          <w:color w:val="221E1F"/>
        </w:rPr>
        <w:t>. The decision as to whether to grant an exception will be based on a review of the facts</w:t>
      </w:r>
      <w:r>
        <w:rPr>
          <w:rFonts w:ascii="Arial" w:cs="Arial" w:eastAsia="Arial" w:hAnsi="Arial"/>
          <w:sz w:val="20"/>
          <w:szCs w:val="20"/>
          <w:color w:val="000000"/>
        </w:rPr>
        <w:t xml:space="preserve"> </w:t>
      </w:r>
      <w:r>
        <w:rPr>
          <w:rFonts w:ascii="Arial" w:cs="Arial" w:eastAsia="Arial" w:hAnsi="Arial"/>
          <w:sz w:val="20"/>
          <w:szCs w:val="20"/>
          <w:color w:val="221E1F"/>
        </w:rPr>
        <w:t>and circumstances of the leave and whether or not the Company anticipates the Participant to return to their role after the leave period is over.</w:t>
      </w:r>
    </w:p>
    <w:p>
      <w:pPr>
        <w:spacing w:after="0" w:line="213" w:lineRule="exact"/>
        <w:rPr>
          <w:sz w:val="20"/>
          <w:szCs w:val="20"/>
          <w:color w:val="auto"/>
        </w:rPr>
      </w:pPr>
    </w:p>
    <w:p>
      <w:pPr>
        <w:ind w:right="240"/>
        <w:spacing w:after="0" w:line="277"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RSUs will vest as of the date of 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and be converted to shares of Common Stock to be delivered to the Participant’s estate, net of taxes (where applicable), as soon as administratively practicable.</w:t>
      </w:r>
    </w:p>
    <w:p>
      <w:pPr>
        <w:spacing w:after="0" w:line="162" w:lineRule="exact"/>
        <w:rPr>
          <w:sz w:val="20"/>
          <w:szCs w:val="20"/>
          <w:color w:val="auto"/>
        </w:rPr>
      </w:pPr>
    </w:p>
    <w:p>
      <w:pPr>
        <w:jc w:val="both"/>
        <w:ind w:right="240"/>
        <w:spacing w:after="0" w:line="263" w:lineRule="auto"/>
        <w:rPr>
          <w:sz w:val="20"/>
          <w:szCs w:val="20"/>
          <w:color w:val="auto"/>
        </w:rPr>
      </w:pPr>
      <w:r>
        <w:rPr>
          <w:rFonts w:ascii="Arial" w:cs="Arial" w:eastAsia="Arial" w:hAnsi="Arial"/>
          <w:sz w:val="20"/>
          <w:szCs w:val="20"/>
          <w:b w:val="1"/>
          <w:bCs w:val="1"/>
          <w:color w:val="221E1F"/>
        </w:rPr>
        <w:t xml:space="preserve">Rehire. </w:t>
      </w:r>
      <w:r>
        <w:rPr>
          <w:rFonts w:ascii="Arial" w:cs="Arial" w:eastAsia="Arial" w:hAnsi="Arial"/>
          <w:sz w:val="20"/>
          <w:szCs w:val="20"/>
          <w:color w:val="000000"/>
        </w:rPr>
        <w:t>If the Company rehires a Participant within 90 days following the Participant’s Termination Date, unvested RSUs that</w:t>
      </w:r>
      <w:r>
        <w:rPr>
          <w:rFonts w:ascii="Arial" w:cs="Arial" w:eastAsia="Arial" w:hAnsi="Arial"/>
          <w:sz w:val="20"/>
          <w:szCs w:val="20"/>
          <w:b w:val="1"/>
          <w:bCs w:val="1"/>
          <w:color w:val="221E1F"/>
        </w:rPr>
        <w:t xml:space="preserve"> </w:t>
      </w:r>
      <w:r>
        <w:rPr>
          <w:rFonts w:ascii="Arial" w:cs="Arial" w:eastAsia="Arial" w:hAnsi="Arial"/>
          <w:sz w:val="20"/>
          <w:szCs w:val="20"/>
          <w:color w:val="000000"/>
        </w:rPr>
        <w:t>were forfeited and cancelled because of such termination will be reinstated. If the Company rehires a Participant after 90 days following the Termination Date, the RSUs will remain forfeited and cancelled.</w:t>
      </w:r>
    </w:p>
    <w:p>
      <w:pPr>
        <w:spacing w:after="0" w:line="189"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000000"/>
        </w:rPr>
        <w:t>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spacing w:after="0" w:line="227" w:lineRule="exact"/>
        <w:rPr>
          <w:sz w:val="20"/>
          <w:szCs w:val="20"/>
          <w:color w:val="auto"/>
        </w:rPr>
      </w:pPr>
    </w:p>
    <w:p>
      <w:pPr>
        <w:ind w:right="100"/>
        <w:spacing w:after="0" w:line="284" w:lineRule="auto"/>
        <w:rPr>
          <w:sz w:val="20"/>
          <w:szCs w:val="20"/>
          <w:color w:val="auto"/>
        </w:rPr>
      </w:pPr>
      <w:r>
        <w:rPr>
          <w:rFonts w:ascii="Arial" w:cs="Arial" w:eastAsia="Arial" w:hAnsi="Arial"/>
          <w:sz w:val="19"/>
          <w:szCs w:val="19"/>
          <w:b w:val="1"/>
          <w:bCs w:val="1"/>
          <w:color w:val="221E1F"/>
        </w:rPr>
        <w:t>Specified Employees</w:t>
      </w:r>
      <w:r>
        <w:rPr>
          <w:rFonts w:ascii="Arial" w:cs="Arial" w:eastAsia="Arial" w:hAnsi="Arial"/>
          <w:sz w:val="19"/>
          <w:szCs w:val="19"/>
          <w:color w:val="221E1F"/>
        </w:rPr>
        <w:t>. If a Participant is a “specified employee” within the meaning of Section 409A of the Code (i.e., generally</w:t>
      </w:r>
      <w:r>
        <w:rPr>
          <w:rFonts w:ascii="Arial" w:cs="Arial" w:eastAsia="Arial" w:hAnsi="Arial"/>
          <w:sz w:val="19"/>
          <w:szCs w:val="19"/>
          <w:b w:val="1"/>
          <w:bCs w:val="1"/>
          <w:color w:val="221E1F"/>
        </w:rPr>
        <w:t xml:space="preserve"> </w:t>
      </w:r>
      <w:r>
        <w:rPr>
          <w:rFonts w:ascii="Arial" w:cs="Arial" w:eastAsia="Arial" w:hAnsi="Arial"/>
          <w:sz w:val="19"/>
          <w:szCs w:val="19"/>
          <w:color w:val="221E1F"/>
        </w:rPr>
        <w:t xml:space="preserve">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(dividend equivalent eligible) and will vest on the first day of the seventh month following the Termination Date. </w:t>
      </w:r>
      <w:r>
        <w:rPr>
          <w:rFonts w:ascii="Arial" w:cs="Arial" w:eastAsia="Arial" w:hAnsi="Arial"/>
          <w:sz w:val="19"/>
          <w:szCs w:val="19"/>
          <w:color w:val="000000"/>
        </w:rPr>
        <w:t>Upon vest, RSUs will convert into an equal number of shares of Common Stock (or cash) to be delivered to</w:t>
      </w:r>
      <w:r>
        <w:rPr>
          <w:rFonts w:ascii="Arial" w:cs="Arial" w:eastAsia="Arial" w:hAnsi="Arial"/>
          <w:sz w:val="19"/>
          <w:szCs w:val="19"/>
          <w:color w:val="221E1F"/>
        </w:rPr>
        <w:t xml:space="preserve"> </w:t>
      </w:r>
      <w:r>
        <w:rPr>
          <w:rFonts w:ascii="Arial" w:cs="Arial" w:eastAsia="Arial" w:hAnsi="Arial"/>
          <w:sz w:val="19"/>
          <w:szCs w:val="19"/>
          <w:color w:val="000000"/>
        </w:rPr>
        <w:t>the Participant as soon as administratively practicable. The value of the RSUs will be determined as of the vest date.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31" w:lineRule="exact"/>
        <w:rPr>
          <w:sz w:val="20"/>
          <w:szCs w:val="20"/>
          <w:color w:val="auto"/>
        </w:rPr>
      </w:pPr>
    </w:p>
    <w:p>
      <w:pPr>
        <w:ind w:right="160"/>
        <w:spacing w:after="0"/>
        <w:rPr>
          <w:sz w:val="20"/>
          <w:szCs w:val="20"/>
          <w:color w:val="auto"/>
        </w:rPr>
      </w:pPr>
      <w:r>
        <w:rPr>
          <w:rFonts w:ascii="Arial" w:cs="Arial" w:eastAsia="Arial" w:hAnsi="Arial"/>
          <w:sz w:val="20"/>
          <w:szCs w:val="20"/>
          <w:color w:val="221E1F"/>
        </w:rPr>
        <w:t xml:space="preserve">RSU Awards, including Common Stock delivered for vested RSUs, are subject to the applicable RTX Corporation Clawback Policy, as amended from time to time, available on </w:t>
      </w:r>
      <w:r>
        <w:rPr>
          <w:rFonts w:ascii="Arial" w:cs="Arial" w:eastAsia="Arial" w:hAnsi="Arial"/>
          <w:sz w:val="20"/>
          <w:szCs w:val="20"/>
          <w:u w:val="single" w:color="auto"/>
          <w:color w:val="0000FF"/>
        </w:rPr>
        <w:t>www.rtx.com</w:t>
      </w:r>
      <w:r>
        <w:rPr>
          <w:rFonts w:ascii="Arial" w:cs="Arial" w:eastAsia="Arial" w:hAnsi="Arial"/>
          <w:sz w:val="20"/>
          <w:szCs w:val="20"/>
          <w:color w:val="221E1F"/>
        </w:rPr>
        <w:t>. RSUs will be immediately forfeited, and a Participant may be obligated to repay to the Company the value realized from previously vested RSUs upon the occurrence of any of the following events:</w:t>
      </w:r>
    </w:p>
    <w:p>
      <w:pPr>
        <w:spacing w:after="0" w:line="201" w:lineRule="exact"/>
        <w:rPr>
          <w:sz w:val="20"/>
          <w:szCs w:val="20"/>
          <w:color w:val="auto"/>
        </w:rPr>
      </w:pPr>
    </w:p>
    <w:p>
      <w:pPr>
        <w:ind w:left="640" w:hanging="470"/>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Termination for Cause (as defined in the LTIP) or for violation of the RTX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55" w:name="page56"/>
    <w:bookmarkEnd w:id="55"/>
    <w:p>
      <w:pPr>
        <w:spacing w:after="0" w:line="55" w:lineRule="exact"/>
        <w:rPr>
          <w:sz w:val="20"/>
          <w:szCs w:val="20"/>
          <w:color w:val="auto"/>
        </w:rPr>
      </w:pPr>
    </w:p>
    <w:p>
      <w:pPr>
        <w:ind w:left="660" w:right="140" w:hanging="490"/>
        <w:spacing w:after="0" w:line="234" w:lineRule="auto"/>
        <w:tabs>
          <w:tab w:leader="none" w:pos="65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51" w:lineRule="exact"/>
        <w:rPr>
          <w:rFonts w:ascii="Arial" w:cs="Arial" w:eastAsia="Arial" w:hAnsi="Arial"/>
          <w:sz w:val="20"/>
          <w:szCs w:val="20"/>
          <w:color w:val="auto"/>
        </w:rPr>
      </w:pPr>
    </w:p>
    <w:p>
      <w:pPr>
        <w:ind w:left="640" w:hanging="470"/>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15" w:lineRule="exact"/>
        <w:rPr>
          <w:rFonts w:ascii="Arial" w:cs="Arial" w:eastAsia="Arial" w:hAnsi="Arial"/>
          <w:sz w:val="20"/>
          <w:szCs w:val="20"/>
          <w:color w:val="auto"/>
        </w:rPr>
      </w:pPr>
    </w:p>
    <w:p>
      <w:pPr>
        <w:ind w:left="640" w:hanging="470"/>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15" w:lineRule="exact"/>
        <w:rPr>
          <w:rFonts w:ascii="Arial" w:cs="Arial" w:eastAsia="Arial" w:hAnsi="Arial"/>
          <w:sz w:val="20"/>
          <w:szCs w:val="20"/>
          <w:color w:val="auto"/>
        </w:rPr>
      </w:pPr>
    </w:p>
    <w:p>
      <w:pPr>
        <w:ind w:left="1300" w:right="700" w:hanging="482"/>
        <w:spacing w:after="0" w:line="271" w:lineRule="auto"/>
        <w:tabs>
          <w:tab w:leader="none" w:pos="1294" w:val="left"/>
        </w:tabs>
        <w:numPr>
          <w:ilvl w:val="1"/>
          <w:numId w:val="17"/>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55" w:lineRule="exact"/>
        <w:rPr>
          <w:rFonts w:ascii="Arial" w:cs="Arial" w:eastAsia="Arial" w:hAnsi="Arial"/>
          <w:sz w:val="20"/>
          <w:szCs w:val="20"/>
          <w:color w:val="auto"/>
        </w:rPr>
      </w:pPr>
    </w:p>
    <w:p>
      <w:pPr>
        <w:ind w:left="1300" w:right="100" w:hanging="482"/>
        <w:spacing w:after="0" w:line="271" w:lineRule="auto"/>
        <w:tabs>
          <w:tab w:leader="none" w:pos="1294" w:val="left"/>
        </w:tabs>
        <w:numPr>
          <w:ilvl w:val="1"/>
          <w:numId w:val="17"/>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w:t>
      </w:r>
    </w:p>
    <w:p>
      <w:pPr>
        <w:spacing w:after="0" w:line="169" w:lineRule="exact"/>
        <w:rPr>
          <w:rFonts w:ascii="Arial" w:cs="Arial" w:eastAsia="Arial" w:hAnsi="Arial"/>
          <w:sz w:val="20"/>
          <w:szCs w:val="20"/>
          <w:color w:val="auto"/>
        </w:rPr>
      </w:pPr>
    </w:p>
    <w:p>
      <w:pPr>
        <w:ind w:left="660" w:right="20" w:hanging="490"/>
        <w:spacing w:after="0" w:line="245"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182" w:lineRule="exact"/>
        <w:rPr>
          <w:rFonts w:ascii="Arial" w:cs="Arial" w:eastAsia="Arial" w:hAnsi="Arial"/>
          <w:sz w:val="20"/>
          <w:szCs w:val="20"/>
          <w:color w:val="auto"/>
        </w:rPr>
      </w:pPr>
    </w:p>
    <w:p>
      <w:pPr>
        <w:ind w:left="660" w:right="360" w:hanging="490"/>
        <w:spacing w:after="0" w:line="271" w:lineRule="auto"/>
        <w:tabs>
          <w:tab w:leader="none" w:pos="651" w:val="left"/>
        </w:tabs>
        <w:numPr>
          <w:ilvl w:val="0"/>
          <w:numId w:val="17"/>
        </w:numPr>
        <w:rPr>
          <w:rFonts w:ascii="Arial" w:cs="Arial" w:eastAsia="Arial" w:hAnsi="Arial"/>
          <w:sz w:val="20"/>
          <w:szCs w:val="20"/>
          <w:color w:val="auto"/>
        </w:rPr>
      </w:pPr>
      <w:r>
        <w:rPr>
          <w:rFonts w:ascii="Arial" w:cs="Arial" w:eastAsia="Arial" w:hAnsi="Arial"/>
          <w:sz w:val="20"/>
          <w:szCs w:val="20"/>
          <w:color w:val="auto"/>
        </w:rPr>
        <w:t>Negligent conduct injurious to the Company, including negligent supervision of a subordinate whose action requires a restatement of financial results, or other significant harm to the Company as determined by the Committee; or</w:t>
      </w:r>
    </w:p>
    <w:p>
      <w:pPr>
        <w:spacing w:after="0" w:line="155" w:lineRule="exact"/>
        <w:rPr>
          <w:rFonts w:ascii="Arial" w:cs="Arial" w:eastAsia="Arial" w:hAnsi="Arial"/>
          <w:sz w:val="20"/>
          <w:szCs w:val="20"/>
          <w:color w:val="auto"/>
        </w:rPr>
      </w:pPr>
    </w:p>
    <w:p>
      <w:pPr>
        <w:ind w:left="660" w:hanging="490"/>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Participant’s misappropriation of RTX Intellectual Property or violation of his/her Intellectual Property (IP) Agreement.</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In addition, the Committee reserves the right to require repayment of all or any portion of an RSU Award under item (iii) above, without regard to whether a restatement is attributable to the Participant’s actions, as appropriate and determined at the Committee’s sole discretion.</w:t>
      </w:r>
    </w:p>
    <w:p>
      <w:pPr>
        <w:spacing w:after="0" w:line="165"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auto"/>
        </w:rPr>
        <w:t xml:space="preserve">The Participant agrees that the foregoing restrictions are reasonable and that the value of </w:t>
      </w:r>
      <w:r>
        <w:rPr>
          <w:rFonts w:ascii="Arial" w:cs="Arial" w:eastAsia="Arial" w:hAnsi="Arial"/>
          <w:sz w:val="20"/>
          <w:szCs w:val="20"/>
          <w:color w:val="221E1F"/>
        </w:rPr>
        <w:t>the</w:t>
      </w:r>
      <w:r>
        <w:rPr>
          <w:rFonts w:ascii="Arial" w:cs="Arial" w:eastAsia="Arial" w:hAnsi="Arial"/>
          <w:sz w:val="20"/>
          <w:szCs w:val="20"/>
          <w:color w:val="auto"/>
        </w:rPr>
        <w:t xml:space="preserve"> LTIP awards is reasonable consideration for accepting such restrictions and forfeiture contingencies. </w:t>
      </w:r>
      <w:r>
        <w:rPr>
          <w:rFonts w:ascii="Arial" w:cs="Arial" w:eastAsia="Arial" w:hAnsi="Arial"/>
          <w:sz w:val="20"/>
          <w:szCs w:val="20"/>
          <w:color w:val="221E1F"/>
        </w:rPr>
        <w:t>However, if any portion of this section is held by</w:t>
      </w:r>
      <w:r>
        <w:rPr>
          <w:rFonts w:ascii="Arial" w:cs="Arial" w:eastAsia="Arial" w:hAnsi="Arial"/>
          <w:sz w:val="20"/>
          <w:szCs w:val="20"/>
          <w:color w:val="auto"/>
        </w:rPr>
        <w:t xml:space="preserve"> </w:t>
      </w:r>
      <w:r>
        <w:rPr>
          <w:rFonts w:ascii="Arial" w:cs="Arial" w:eastAsia="Arial" w:hAnsi="Arial"/>
          <w:sz w:val="20"/>
          <w:szCs w:val="20"/>
          <w:color w:val="221E1F"/>
        </w:rPr>
        <w:t xml:space="preserve">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 w:cs="Arial" w:eastAsia="Arial" w:hAnsi="Arial"/>
          <w:sz w:val="20"/>
          <w:szCs w:val="20"/>
          <w:color w:val="000000"/>
        </w:rPr>
        <w:t>Further details concerning the forfeiture of awards and</w:t>
      </w:r>
      <w:r>
        <w:rPr>
          <w:rFonts w:ascii="Arial" w:cs="Arial" w:eastAsia="Arial" w:hAnsi="Arial"/>
          <w:sz w:val="20"/>
          <w:szCs w:val="20"/>
          <w:color w:val="221E1F"/>
        </w:rPr>
        <w:t xml:space="preserve"> </w:t>
      </w:r>
      <w:r>
        <w:rPr>
          <w:rFonts w:ascii="Arial" w:cs="Arial" w:eastAsia="Arial" w:hAnsi="Arial"/>
          <w:sz w:val="20"/>
          <w:szCs w:val="20"/>
          <w:color w:val="000000"/>
        </w:rPr>
        <w:t xml:space="preserve">the obligation to repay gains realized from LTIP awards are set forth in Section 14(i) of the LTIP, available </w:t>
      </w:r>
      <w:r>
        <w:rPr>
          <w:rFonts w:ascii="Arial" w:cs="Arial" w:eastAsia="Arial" w:hAnsi="Arial"/>
          <w:sz w:val="20"/>
          <w:szCs w:val="20"/>
          <w:color w:val="221E1F"/>
        </w:rPr>
        <w:t>at</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 the applicable RTX Corporation Clawback Policy, available on</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31" w:lineRule="exact"/>
        <w:rPr>
          <w:sz w:val="20"/>
          <w:szCs w:val="20"/>
          <w:color w:val="auto"/>
        </w:rPr>
      </w:pPr>
    </w:p>
    <w:p>
      <w:pPr>
        <w:jc w:val="both"/>
        <w:ind w:right="400"/>
        <w:spacing w:after="0" w:line="27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w:t>
      </w:r>
    </w:p>
    <w:p>
      <w:pPr>
        <w:spacing w:after="0" w:line="153" w:lineRule="exact"/>
        <w:rPr>
          <w:sz w:val="20"/>
          <w:szCs w:val="20"/>
          <w:color w:val="auto"/>
        </w:rPr>
      </w:pPr>
    </w:p>
    <w:p>
      <w:pPr>
        <w:ind w:right="2400"/>
        <w:spacing w:after="0" w:line="257"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20"/>
          <w:szCs w:val="20"/>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 </w:t>
      </w:r>
      <w:r>
        <w:rPr>
          <w:rFonts w:ascii="Arial" w:cs="Arial" w:eastAsia="Arial" w:hAnsi="Arial"/>
          <w:sz w:val="20"/>
          <w:szCs w:val="20"/>
          <w:u w:val="single" w:color="auto"/>
          <w:color w:val="0000FF"/>
        </w:rPr>
        <w:t>www.ubs.com/onesource/rtx</w:t>
      </w:r>
      <w:r>
        <w:rPr>
          <w:rFonts w:ascii="Arial" w:cs="Arial" w:eastAsia="Arial" w:hAnsi="Arial"/>
          <w:sz w:val="20"/>
          <w:szCs w:val="20"/>
          <w:u w:val="single" w:color="auto"/>
          <w:color w:val="221E1F"/>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04" w:lineRule="exact"/>
        <w:rPr>
          <w:sz w:val="20"/>
          <w:szCs w:val="20"/>
          <w:color w:val="auto"/>
        </w:rPr>
      </w:pPr>
    </w:p>
    <w:p>
      <w:pPr>
        <w:ind w:right="360"/>
        <w:spacing w:after="0" w:line="256" w:lineRule="auto"/>
        <w:rPr>
          <w:sz w:val="20"/>
          <w:szCs w:val="20"/>
          <w:color w:val="auto"/>
        </w:rPr>
      </w:pPr>
      <w:r>
        <w:rPr>
          <w:rFonts w:ascii="Arial" w:cs="Arial" w:eastAsia="Arial" w:hAnsi="Arial"/>
          <w:sz w:val="19"/>
          <w:szCs w:val="19"/>
          <w:color w:val="221E1F"/>
        </w:rPr>
        <w:t>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18"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The Company shall have the right to deduct directly from RSUs, any payment or delivery of shares due to a Participant or from Participant’s regular compensation to effect compliance with all Tax-Related Items, including withholding and reporting with respect to the vesting of any RSU, or in advance of vesting, for retirement eligible Participants to comply with FICA tax requirements.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 w:cs="Arial" w:eastAsia="Arial" w:hAnsi="Arial"/>
          <w:sz w:val="19"/>
          <w:szCs w:val="19"/>
          <w:color w:val="211F1F"/>
        </w:rPr>
        <w:t>Further, if the Participant has become subject to tax in more than</w:t>
      </w:r>
      <w:r>
        <w:rPr>
          <w:rFonts w:ascii="Arial" w:cs="Arial" w:eastAsia="Arial" w:hAnsi="Arial"/>
          <w:sz w:val="19"/>
          <w:szCs w:val="19"/>
          <w:color w:val="221E1F"/>
        </w:rPr>
        <w:t xml:space="preserve"> </w:t>
      </w:r>
      <w:r>
        <w:rPr>
          <w:rFonts w:ascii="Arial" w:cs="Arial" w:eastAsia="Arial" w:hAnsi="Arial"/>
          <w:sz w:val="19"/>
          <w:szCs w:val="19"/>
          <w:color w:val="211F1F"/>
        </w:rPr>
        <w:t xml:space="preserve">one 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19"/>
          <w:szCs w:val="19"/>
          <w:color w:val="221E1F"/>
        </w:rPr>
        <w:t>In those countries where</w:t>
      </w:r>
      <w:r>
        <w:rPr>
          <w:rFonts w:ascii="Arial" w:cs="Arial" w:eastAsia="Arial" w:hAnsi="Arial"/>
          <w:sz w:val="19"/>
          <w:szCs w:val="19"/>
          <w:color w:val="211F1F"/>
        </w:rPr>
        <w:t xml:space="preserve"> </w:t>
      </w:r>
      <w:r>
        <w:rPr>
          <w:rFonts w:ascii="Arial" w:cs="Arial" w:eastAsia="Arial" w:hAnsi="Arial"/>
          <w:sz w:val="19"/>
          <w:szCs w:val="19"/>
          <w:color w:val="221E1F"/>
        </w:rPr>
        <w:t>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40" w:right="339" w:bottom="1440" w:gutter="0" w:footer="0" w:header="0"/>
        </w:sectPr>
      </w:pPr>
    </w:p>
    <w:bookmarkStart w:id="57" w:name="page58"/>
    <w:bookmarkEnd w:id="57"/>
    <w:p>
      <w:pPr>
        <w:ind w:right="540"/>
        <w:spacing w:after="0" w:line="257" w:lineRule="auto"/>
        <w:rPr>
          <w:sz w:val="20"/>
          <w:szCs w:val="20"/>
          <w:color w:val="auto"/>
        </w:rPr>
      </w:pPr>
      <w:r>
        <w:rPr>
          <w:rFonts w:ascii="Arial" w:cs="Arial" w:eastAsia="Arial" w:hAnsi="Arial"/>
          <w:sz w:val="20"/>
          <w:szCs w:val="20"/>
          <w:color w:val="221E1F"/>
        </w:rPr>
        <w:t>Related Items that the Company is required to pay. The Company may refuse to distribute an Award if a Participant fails to comply with his or her obligations in connection with Tax-Related Items.</w:t>
      </w:r>
    </w:p>
    <w:p>
      <w:pPr>
        <w:spacing w:after="0" w:line="169"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221E1F"/>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to the vesting of the RSU Award and (ii) with respect to any other Tax-Related Items, the Company shall satisfy the withholding obligation by withholding shares of Common Stock converted from RSUs under the RSU Award having a Fair Market Value on the date of withholding equal to the amount required to be withheld for tax purposes (calculated using the minimum statutory withholding rate, except as otherwise approved by the Committee , or its delegate). Provided for both items (i) and (ii) above, the Committee retains the right to determine an alternative method of withholding for the Participant, at its sole discretion, provided in all cases, such determination shall be made by the Committee prior to the Tax-Related Items withholding event.</w:t>
      </w:r>
    </w:p>
    <w:p>
      <w:pPr>
        <w:spacing w:after="0" w:line="209"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8" w:lineRule="exact"/>
        <w:rPr>
          <w:sz w:val="20"/>
          <w:szCs w:val="20"/>
          <w:color w:val="auto"/>
        </w:rPr>
      </w:pPr>
    </w:p>
    <w:p>
      <w:pPr>
        <w:ind w:right="440"/>
        <w:spacing w:after="0" w:line="255" w:lineRule="auto"/>
        <w:rPr>
          <w:sz w:val="20"/>
          <w:szCs w:val="20"/>
          <w:color w:val="auto"/>
        </w:rPr>
      </w:pPr>
      <w:r>
        <w:rPr>
          <w:rFonts w:ascii="Arial" w:cs="Arial" w:eastAsia="Arial" w:hAnsi="Arial"/>
          <w:sz w:val="20"/>
          <w:szCs w:val="20"/>
          <w:color w:val="221E1F"/>
        </w:rPr>
        <w:t>No assignment or transfer of any right or interest of a Participant in any RSU Award, whether voluntary or involuntary, by operation of law or otherwise, is permitted except by will or the laws of descent and distribution</w:t>
      </w:r>
      <w:r>
        <w:rPr>
          <w:rFonts w:ascii="Arial" w:cs="Arial" w:eastAsia="Arial" w:hAnsi="Arial"/>
          <w:sz w:val="20"/>
          <w:szCs w:val="20"/>
          <w:color w:val="000000"/>
        </w:rPr>
        <w:t>. Any other</w:t>
      </w:r>
      <w:r>
        <w:rPr>
          <w:rFonts w:ascii="Arial" w:cs="Arial" w:eastAsia="Arial" w:hAnsi="Arial"/>
          <w:sz w:val="20"/>
          <w:szCs w:val="20"/>
          <w:color w:val="221E1F"/>
        </w:rPr>
        <w:t xml:space="preserve"> attempt to assign such rights or interest shall be void and without force or effect.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18" w:lineRule="exact"/>
        <w:rPr>
          <w:sz w:val="20"/>
          <w:szCs w:val="20"/>
          <w:color w:val="auto"/>
        </w:rPr>
      </w:pPr>
    </w:p>
    <w:p>
      <w:pPr>
        <w:jc w:val="both"/>
        <w:ind w:right="80"/>
        <w:spacing w:after="0" w:line="255"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8" w:lineRule="exact"/>
        <w:rPr>
          <w:sz w:val="20"/>
          <w:szCs w:val="20"/>
          <w:color w:val="auto"/>
        </w:rPr>
      </w:pPr>
    </w:p>
    <w:p>
      <w:pPr>
        <w:jc w:val="both"/>
        <w:ind w:right="100"/>
        <w:spacing w:after="0" w:line="255" w:lineRule="auto"/>
        <w:rPr>
          <w:sz w:val="20"/>
          <w:szCs w:val="20"/>
          <w:color w:val="auto"/>
        </w:rPr>
      </w:pPr>
      <w:r>
        <w:rPr>
          <w:rFonts w:ascii="Arial" w:cs="Arial" w:eastAsia="Arial" w:hAnsi="Arial"/>
          <w:sz w:val="20"/>
          <w:szCs w:val="20"/>
          <w:color w:val="211E1F"/>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8" w:lineRule="exact"/>
        <w:rPr>
          <w:sz w:val="20"/>
          <w:szCs w:val="20"/>
          <w:color w:val="auto"/>
        </w:rPr>
      </w:pPr>
    </w:p>
    <w:p>
      <w:pPr>
        <w:spacing w:after="0" w:line="248"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7</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58" w:name="page59"/>
    <w:bookmarkEnd w:id="58"/>
    <w:p>
      <w:pPr>
        <w:ind w:right="180"/>
        <w:spacing w:after="0" w:line="250" w:lineRule="auto"/>
        <w:rPr>
          <w:sz w:val="20"/>
          <w:szCs w:val="20"/>
          <w:color w:val="auto"/>
        </w:rPr>
      </w:pPr>
      <w:r>
        <w:rPr>
          <w:rFonts w:ascii="Arial" w:cs="Arial" w:eastAsia="Arial" w:hAnsi="Arial"/>
          <w:sz w:val="20"/>
          <w:szCs w:val="20"/>
          <w:color w:val="221E1F"/>
        </w:rPr>
        <w:t>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1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221E1F"/>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221E1F"/>
        </w:rPr>
        <w:t>. 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31"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 xml:space="preserve">This Schedule of Terms provides a summary of terms applicable to the RSU Award. </w:t>
      </w:r>
      <w:r>
        <w:rPr>
          <w:rFonts w:ascii="Arial" w:cs="Arial" w:eastAsia="Arial" w:hAnsi="Arial"/>
          <w:sz w:val="20"/>
          <w:szCs w:val="20"/>
          <w:color w:val="221E1F"/>
        </w:rPr>
        <w:t>This Schedule of Terms and each Award</w:t>
      </w:r>
      <w:r>
        <w:rPr>
          <w:rFonts w:ascii="Arial" w:cs="Arial" w:eastAsia="Arial" w:hAnsi="Arial"/>
          <w:sz w:val="20"/>
          <w:szCs w:val="20"/>
          <w:color w:val="auto"/>
        </w:rPr>
        <w:t xml:space="preserve"> </w:t>
      </w:r>
      <w:r>
        <w:rPr>
          <w:rFonts w:ascii="Arial" w:cs="Arial" w:eastAsia="Arial" w:hAnsi="Arial"/>
          <w:sz w:val="20"/>
          <w:szCs w:val="20"/>
          <w:color w:val="221E1F"/>
        </w:rPr>
        <w:t xml:space="preserve">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31" w:lineRule="exact"/>
        <w:rPr>
          <w:sz w:val="20"/>
          <w:szCs w:val="20"/>
          <w:color w:val="auto"/>
        </w:rPr>
      </w:pPr>
    </w:p>
    <w:p>
      <w:pPr>
        <w:ind w:right="60"/>
        <w:spacing w:after="0" w:line="300"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8</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59" w:name="page60"/>
    <w:bookmarkEnd w:id="59"/>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18" w:lineRule="exact"/>
        <w:rPr>
          <w:sz w:val="20"/>
          <w:szCs w:val="20"/>
          <w:color w:val="auto"/>
        </w:rPr>
      </w:pPr>
    </w:p>
    <w:p>
      <w:pPr>
        <w:ind w:right="1220"/>
        <w:spacing w:after="0" w:line="300" w:lineRule="auto"/>
        <w:rPr>
          <w:sz w:val="20"/>
          <w:szCs w:val="20"/>
          <w:color w:val="auto"/>
        </w:rPr>
      </w:pPr>
      <w:r>
        <w:rPr>
          <w:rFonts w:ascii="Arial" w:cs="Arial" w:eastAsia="Arial" w:hAnsi="Arial"/>
          <w:sz w:val="20"/>
          <w:szCs w:val="20"/>
          <w:color w:val="auto"/>
        </w:rPr>
        <w:t xml:space="preserve">Questions concerning the LTIP or Awards and requests for LTIP documents can be directed to the RTX Stock Plan Administrator by emailing </w:t>
      </w:r>
      <w:r>
        <w:rPr>
          <w:rFonts w:ascii="Arial" w:cs="Arial" w:eastAsia="Arial" w:hAnsi="Arial"/>
          <w:sz w:val="20"/>
          <w:szCs w:val="20"/>
          <w:u w:val="single" w:color="auto"/>
          <w:color w:val="0000FF"/>
        </w:rPr>
        <w:t>rtxstockadmin@rtx.com.</w:t>
      </w:r>
    </w:p>
    <w:p>
      <w:pPr>
        <w:spacing w:after="0" w:line="14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 xml:space="preserve">The Corporation and/or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4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RTX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Performance Share Unit Award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This Schedule of Terms describes the material features of the Participant’s Performance Share Unit Award (the “PSU Award” or the “Award”) granted under the RTX Corporation Long-Term Incentive Plan, as amended and restated effective May 2, 2024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2"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221E1F"/>
        </w:rPr>
        <w:t>Certain Definitions</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A Performance Share Unit (a “PSU”) represents the right to receive one share of Common Stock of RTX Corporation (the “Common Stock”) (or a cash payment equal to the Fair Market Value thereof). PSUs generally vest and are converted into shares of Common Stock if, and to the extent, the associated pre-established performance targets are achieved and the Participant remains employed by the Company through the end of the applicable performance measurement period, and vesting date (see “Vesting”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8"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The number of PSUs granted under the PSU Award is set forth in the Award Agreement. An LTIP Award recipient (a “Participant”) must affirmatively acknowledge and accept the terms and conditions of the PSU Award within 150 days following the Grant Date. A failure to acknowledge and accept the PSU Award subject to the LTIP and this Schedule of Terms, within such 150-day period will result in forfeiture of the PSU Award, effective as of the 150th day following the Grant Date.</w:t>
      </w:r>
    </w:p>
    <w:p>
      <w:pPr>
        <w:spacing w:after="0" w:line="174"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 xml:space="preserve">Participants must acknowledge and accept the terms and conditions of this PSU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Participants based in certain countries may be required to acknowledge and accept the terms and conditions of the PSU Award by signing and returning the designated hard copy portion of the Award Agreement to the Stock Plan Administrator. These countries currently include Russia, Turkey, Hungary, and Slovenia.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04"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221E1F"/>
        </w:rPr>
        <w:t xml:space="preserve">PSU Awards will vest in accordance with the schedule set forth in the Award Agreement, subject to performance relative to pre-established Performance Goals, and the Participant’s continued employment with the Company through the applicable performance measurement period, and vesting date. Potential Performance Goals are provided in the LTIP. PSU Awards may be subject to multiple Performance Goals. The Award Agreement will specify the performance period and vesting date. </w:t>
      </w:r>
      <w:r>
        <w:rPr>
          <w:rFonts w:ascii="Arial" w:cs="Arial" w:eastAsia="Arial" w:hAnsi="Arial"/>
          <w:sz w:val="20"/>
          <w:szCs w:val="20"/>
          <w:b w:val="1"/>
          <w:bCs w:val="1"/>
          <w:color w:val="000000"/>
        </w:rPr>
        <w:t>Please</w:t>
      </w:r>
      <w:r>
        <w:rPr>
          <w:rFonts w:ascii="Arial" w:cs="Arial" w:eastAsia="Arial" w:hAnsi="Arial"/>
          <w:sz w:val="20"/>
          <w:szCs w:val="20"/>
          <w:color w:val="221E1F"/>
        </w:rPr>
        <w:t xml:space="preserve"> </w:t>
      </w:r>
      <w:r>
        <w:rPr>
          <w:rFonts w:ascii="Arial" w:cs="Arial" w:eastAsia="Arial" w:hAnsi="Arial"/>
          <w:sz w:val="20"/>
          <w:szCs w:val="20"/>
          <w:b w:val="1"/>
          <w:bCs w:val="1"/>
          <w:color w:val="000000"/>
        </w:rPr>
        <w:t>refer to Appendix A for actual Performance Goals for the 2025-2027 performance cycle</w:t>
      </w:r>
      <w:r>
        <w:rPr>
          <w:rFonts w:ascii="Arial" w:cs="Arial" w:eastAsia="Arial" w:hAnsi="Arial"/>
          <w:sz w:val="20"/>
          <w:szCs w:val="20"/>
          <w:b w:val="1"/>
          <w:bCs w:val="1"/>
          <w:color w:val="221E1F"/>
        </w:rPr>
        <w:t>, including minimum</w:t>
      </w:r>
      <w:r>
        <w:rPr>
          <w:rFonts w:ascii="Arial" w:cs="Arial" w:eastAsia="Arial" w:hAnsi="Arial"/>
          <w:sz w:val="20"/>
          <w:szCs w:val="20"/>
          <w:b w:val="1"/>
          <w:bCs w:val="1"/>
          <w:color w:val="000000"/>
        </w:rPr>
        <w:t xml:space="preserve"> </w:t>
      </w:r>
      <w:r>
        <w:rPr>
          <w:rFonts w:ascii="Arial" w:cs="Arial" w:eastAsia="Arial" w:hAnsi="Arial"/>
          <w:sz w:val="20"/>
          <w:szCs w:val="20"/>
          <w:b w:val="1"/>
          <w:bCs w:val="1"/>
          <w:color w:val="221E1F"/>
        </w:rPr>
        <w:t>performance required for vesting, range of vesting and relative weighting for each Performance Goal.</w:t>
      </w:r>
    </w:p>
    <w:p>
      <w:pPr>
        <w:spacing w:after="0" w:line="178"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221E1F"/>
        </w:rPr>
        <w:t>2025 Performance Goals include: (i) diluted earnings per share (“EPS”); (ii) return on invested capital (“ROIC”); (iii) RTX’s total shareowner return (“TSR”) relative to the companies within the S&amp;P 500 Index; and (iv) RTX’s TSR relative to nine aerospace and defense companies (i.e.,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2" w:right="339" w:bottom="1440" w:gutter="0" w:footer="0" w:header="0"/>
        </w:sectPr>
      </w:pPr>
    </w:p>
    <w:bookmarkStart w:id="62" w:name="page63"/>
    <w:bookmarkEnd w:id="62"/>
    <w:p>
      <w:pPr>
        <w:ind w:right="60"/>
        <w:spacing w:after="0"/>
        <w:rPr>
          <w:sz w:val="20"/>
          <w:szCs w:val="20"/>
          <w:color w:val="auto"/>
        </w:rPr>
      </w:pPr>
      <w:r>
        <w:rPr>
          <w:rFonts w:ascii="Arial" w:cs="Arial" w:eastAsia="Arial" w:hAnsi="Arial"/>
          <w:sz w:val="20"/>
          <w:szCs w:val="20"/>
          <w:color w:val="221E1F"/>
        </w:rPr>
        <w:t xml:space="preserve">Honeywell, Boeing, GE Aerospace, Lockheed Martin, Airbus, Northrop Grumman, General Dynamics, L3Harris and Safran) (the “A&amp;D peer companies”). For 2025, all Performance Goals will be measured over </w:t>
      </w:r>
      <w:r>
        <w:rPr>
          <w:rFonts w:ascii="Arial" w:cs="Arial" w:eastAsia="Arial" w:hAnsi="Arial"/>
          <w:sz w:val="20"/>
          <w:szCs w:val="20"/>
          <w:color w:val="000000"/>
        </w:rPr>
        <w:t>the three-year performance period of the</w:t>
      </w:r>
      <w:r>
        <w:rPr>
          <w:rFonts w:ascii="Arial" w:cs="Arial" w:eastAsia="Arial" w:hAnsi="Arial"/>
          <w:sz w:val="20"/>
          <w:szCs w:val="20"/>
          <w:color w:val="221E1F"/>
        </w:rPr>
        <w:t xml:space="preserve"> </w:t>
      </w:r>
      <w:r>
        <w:rPr>
          <w:rFonts w:ascii="Arial" w:cs="Arial" w:eastAsia="Arial" w:hAnsi="Arial"/>
          <w:sz w:val="20"/>
          <w:szCs w:val="20"/>
          <w:color w:val="000000"/>
        </w:rPr>
        <w:t>Award (as discussed below). In the case that the scheduled vesting date occurs prior to the Committee’s certification of performance results, the actual vesting date of the PSU Award shall be the date of the Committee’s certification of performance results (or if not on a market trading date, the next trading date).</w:t>
      </w:r>
    </w:p>
    <w:p>
      <w:pPr>
        <w:spacing w:after="0" w:line="200"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The 2025 PSU Award will include a three-year compound annual growth rate EPS goal. EPS is defined as net income from continuing operations divided by weighted average diluted shares outstanding, subject to adjustments for changes in tax laws, tariffs and/or accounting rules, the impact of acquisitions and divestitures (including acquisition accounting adjustments), restructuring, non-recurring and other significant, non-operational items, non-operating pension and postretirement income or expense, changes in asset or liability valuations of deferred compensation plans recognized in interest income/expense. In addition, the Committee may adjust the EPS calculation (positively or negatively) to exclude the impact of certain items unrelated to operational performance. Such adjustment may be made when necessary to maintain the validity of the Performance Goal, as originally formulated.</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The 2025 PSU Award will measure TSR over the three-year performance period of the Award. TSR is the percentage change in share price over the cumulative three-year performance period (plus reinvested dividends) divided by the share price at the beginning of the performance period. TSR is calculated using the trailing November/December average adjusted closing share price prior to and at the end of the three-year period, as calculated by Standard &amp; Poor’s. If relative TSR is negative for the three-year performance period, the TSR payout percentage for that metric may not exceed 100% of target, even if relative performance exceeds the target-level Performance Goal. Relative TSR is the rank of RTX’s three-year TSR versus: (i) the companies within the S&amp;P 500 Index at the beginning of the three-year performance period; and (ii) the A&amp;D peer companies. To the extent that such companies are acquired, delist from a stock exchange, or in the case of the S&amp;P 500, companies are removed from the S&amp;P 500 Index during the performance period, these companies will be excluded from the ranking calculation.</w:t>
      </w:r>
    </w:p>
    <w:p>
      <w:pPr>
        <w:spacing w:after="0" w:line="16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2025 PSU Award will include a three-year ROIC goal measured on an average quarterly basis over the three-year performance period of the Award. ROIC is based on continuing operations and is defined as the ratio of net operating profit after tax (“NOPAT”) to Invested Capital (total debt less cash plus equity), subject to certain adjustments as detailed below. NOPAT excludes non-controlling interest, non-service pension income/expense, the impact of acquisitions and divestitures (including acquisition accounting adjustments), the impact of foreign exchange fluctuations, material one-time tax charges, restructuring, non-recurring and other significant, non-operational items and changes in tax laws, tariffs and/or accounting rules. Invested Capital excludes accumulated other comprehensive income, cash and equivalents, acquisition and divestiture borrowings, short-term borrowings, the impact of acquisitions and divestitures and changes in tax laws, tariffs and/or accounting rules. In addition, the Committee may adjust the ROIC calculation (positively or negatively) to exclude the impact of certain items unrelated to operational performance. Such adjustment may be made when necessary to maintain the validity of the Performance Goal, as originally formulated.</w:t>
      </w:r>
    </w:p>
    <w:p>
      <w:pPr>
        <w:spacing w:after="0" w:line="172" w:lineRule="exact"/>
        <w:rPr>
          <w:sz w:val="20"/>
          <w:szCs w:val="20"/>
          <w:color w:val="auto"/>
        </w:rPr>
      </w:pPr>
    </w:p>
    <w:p>
      <w:pPr>
        <w:ind w:right="120"/>
        <w:spacing w:after="0"/>
        <w:rPr>
          <w:sz w:val="20"/>
          <w:szCs w:val="20"/>
          <w:color w:val="auto"/>
        </w:rPr>
      </w:pPr>
      <w:r>
        <w:rPr>
          <w:rFonts w:ascii="Arial" w:cs="Arial" w:eastAsia="Arial" w:hAnsi="Arial"/>
          <w:sz w:val="20"/>
          <w:szCs w:val="20"/>
          <w:color w:val="221E1F"/>
        </w:rPr>
        <w:t>In the case that that value of the PSU award at vesting is greater than 400% of the value of the PSU award at grant, the performance results shall be reduced so that the value delivered to participants will be no greater than 400% of the grant value. The value of the PSU award at grant is equal to the number of PSUs at target level performance granted to a participant multiplied by the closing stock price of RTX on the grant date. The value of the PSU award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63" w:name="page64"/>
    <w:bookmarkEnd w:id="63"/>
    <w:p>
      <w:pPr>
        <w:ind w:right="1040"/>
        <w:spacing w:after="0" w:line="257" w:lineRule="auto"/>
        <w:rPr>
          <w:sz w:val="20"/>
          <w:szCs w:val="20"/>
          <w:color w:val="auto"/>
        </w:rPr>
      </w:pPr>
      <w:r>
        <w:rPr>
          <w:rFonts w:ascii="Arial" w:cs="Arial" w:eastAsia="Arial" w:hAnsi="Arial"/>
          <w:sz w:val="20"/>
          <w:szCs w:val="20"/>
          <w:color w:val="221E1F"/>
        </w:rPr>
        <w:t>vest is equal to the product of: (i) the number of the PSUs at target level performance granted to a participant; (ii) the Performance Factor certified by the Committee; and (iii) the closing stock price of RTX on the vesting date.</w:t>
      </w:r>
    </w:p>
    <w:p>
      <w:pPr>
        <w:spacing w:after="0" w:line="169" w:lineRule="exact"/>
        <w:rPr>
          <w:sz w:val="20"/>
          <w:szCs w:val="20"/>
          <w:color w:val="auto"/>
        </w:rPr>
      </w:pPr>
    </w:p>
    <w:p>
      <w:pPr>
        <w:ind w:right="460"/>
        <w:spacing w:after="0" w:line="248" w:lineRule="auto"/>
        <w:rPr>
          <w:sz w:val="20"/>
          <w:szCs w:val="20"/>
          <w:color w:val="auto"/>
        </w:rPr>
      </w:pPr>
      <w:r>
        <w:rPr>
          <w:rFonts w:ascii="Arial" w:cs="Arial" w:eastAsia="Arial" w:hAnsi="Arial"/>
          <w:sz w:val="20"/>
          <w:szCs w:val="20"/>
          <w:color w:val="221E1F"/>
        </w:rPr>
        <w:t>PSUs will be forfeited in the event of a Termination of Service prior to the vesting date, except in certain earlier terminations involving Retirement, Involuntary Termination (Not for Cause), Disability, Change-in-Control Termination or Death (see “Termination of Service” below).</w:t>
      </w:r>
    </w:p>
    <w:p>
      <w:pPr>
        <w:spacing w:after="0" w:line="165"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PSUs may also be forfeited and value realized from previously vested PSUs may be recouped by the Company under certain circumstances (see “Forfeiture of Award and Repayment of Realized Gains”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0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221E1F"/>
        </w:rPr>
        <w:t>A PSU is the right to receive a share of Common Stock in the future (or a cash payment equal to the Fair Market Value), subject to continued employment, achievement of performance targets, and certain other conditions. The holder of a PSU has no voting, dividend or other rights accorded to owners of Common Stock unless and until PSUs are converted into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PSUs</w:t>
      </w:r>
    </w:p>
    <w:p>
      <w:pPr>
        <w:spacing w:after="0" w:line="204" w:lineRule="exact"/>
        <w:rPr>
          <w:sz w:val="20"/>
          <w:szCs w:val="20"/>
          <w:color w:val="auto"/>
        </w:rPr>
      </w:pPr>
    </w:p>
    <w:p>
      <w:pPr>
        <w:ind w:right="20"/>
        <w:spacing w:after="0"/>
        <w:rPr>
          <w:sz w:val="20"/>
          <w:szCs w:val="20"/>
          <w:color w:val="auto"/>
        </w:rPr>
      </w:pPr>
      <w:r>
        <w:rPr>
          <w:rFonts w:ascii="Arial" w:cs="Arial" w:eastAsia="Arial" w:hAnsi="Arial"/>
          <w:sz w:val="20"/>
          <w:szCs w:val="20"/>
          <w:color w:val="221E1F"/>
        </w:rPr>
        <w:t>Vested PSUs will be converted into shares of Common Stock to be delivered to the Participant as soon as administratively practicable following the vesting date and, when the Committee determines if, and to what extent, PSUs have vested as a result of the achievement of Performance Goals. If Performance Goals are not met, the PSUs that do not vest will be cancelled without value. PSUs may instead be paid in cash if the Committee so determines, including where local law restricts the distribution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04"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221E1F"/>
        </w:rPr>
        <w:t>The treatment of PSUs upon Termination of Service depends upon the reason for termination, as detailed in the following sections. PSUs held for less than one year as of the Termination Date will be forfeited, except in the event of Death, Disability, or Change-in-Control Termination, as discussed below.</w:t>
      </w:r>
    </w:p>
    <w:p>
      <w:pPr>
        <w:spacing w:after="0" w:line="165"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4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PSUs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remain outstanding and eligible to vest on the originally scheduled vest date, if and to the extent the Committee determines that Performance Goals have been achieved. Upon vest, PSUs will be converted into shares of Common Stock (or cash) to be delivered to the Participant as soon as administratively practicable thereafter. For this purpose, Retirement means either Normal Retirement or Early Retirement as defined below:</w:t>
      </w:r>
    </w:p>
    <w:p>
      <w:pPr>
        <w:spacing w:after="0" w:line="17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64" w:name="page65"/>
    <w:bookmarkEnd w:id="64"/>
    <w:p>
      <w:pPr>
        <w:ind w:left="640" w:hanging="308"/>
        <w:spacing w:after="0"/>
        <w:tabs>
          <w:tab w:leader="none" w:pos="640" w:val="left"/>
        </w:tabs>
        <w:numPr>
          <w:ilvl w:val="0"/>
          <w:numId w:val="19"/>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01" w:lineRule="exact"/>
        <w:rPr>
          <w:sz w:val="20"/>
          <w:szCs w:val="20"/>
          <w:color w:val="auto"/>
        </w:rPr>
      </w:pPr>
    </w:p>
    <w:p>
      <w:pPr>
        <w:ind w:left="1300" w:hanging="320"/>
        <w:spacing w:after="0"/>
        <w:tabs>
          <w:tab w:leader="none" w:pos="1300" w:val="left"/>
        </w:tabs>
        <w:numPr>
          <w:ilvl w:val="0"/>
          <w:numId w:val="20"/>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211" w:lineRule="exact"/>
        <w:rPr>
          <w:rFonts w:ascii="Courier New" w:cs="Courier New" w:eastAsia="Courier New" w:hAnsi="Courier New"/>
          <w:sz w:val="20"/>
          <w:szCs w:val="20"/>
          <w:color w:val="221E1F"/>
        </w:rPr>
      </w:pPr>
    </w:p>
    <w:p>
      <w:pPr>
        <w:ind w:left="1300" w:right="160" w:hanging="320"/>
        <w:spacing w:after="0" w:line="253" w:lineRule="auto"/>
        <w:tabs>
          <w:tab w:leader="none" w:pos="1300" w:val="left"/>
        </w:tabs>
        <w:numPr>
          <w:ilvl w:val="0"/>
          <w:numId w:val="20"/>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71" w:lineRule="exact"/>
        <w:rPr>
          <w:sz w:val="20"/>
          <w:szCs w:val="20"/>
          <w:color w:val="auto"/>
        </w:rPr>
      </w:pPr>
    </w:p>
    <w:p>
      <w:pPr>
        <w:ind w:right="220"/>
        <w:spacing w:after="0" w:line="284"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defined under the RTX Savings Plan. The calculation to determine Early Retirement will include partial years, rounded down to the nearest full month.</w:t>
      </w:r>
    </w:p>
    <w:p>
      <w:pPr>
        <w:spacing w:after="0" w:line="144"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A Participant will not receive Retirement treatment with respect to any Award in the event of involuntary termination by the Company for Cause.</w:t>
      </w:r>
    </w:p>
    <w:p>
      <w:pPr>
        <w:spacing w:after="0" w:line="153"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PSUs will be forfeited as of the Termination Date regardless of the Participant’s Retirement eligibility. In addition, awards may be forfeited and the value realized from previously vested PSUs may be subject to repayment in the event of termination for Cause or certain other occurrences (see “Forfeiture of Award and Repayment of Realized Gains” and “Company Compliance Policies” below).</w:t>
      </w:r>
    </w:p>
    <w:p>
      <w:pPr>
        <w:spacing w:after="0" w:line="195"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b w:val="1"/>
          <w:bCs w:val="1"/>
          <w:color w:val="auto"/>
        </w:rPr>
        <w:t xml:space="preserve">Involuntary Termination. </w:t>
      </w:r>
      <w:r>
        <w:rPr>
          <w:rFonts w:ascii="Arial" w:cs="Arial" w:eastAsia="Arial" w:hAnsi="Arial"/>
          <w:sz w:val="20"/>
          <w:szCs w:val="20"/>
          <w:color w:val="auto"/>
        </w:rPr>
        <w:t>If the Participant’s termination results from an involuntary termination by the Company for reasons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than Cause, unvested PSUs held for at least one year as of the Termination Date will receive pro-rata vesting treatment, subject to the Participant providing the Company with a release of claims against the Company in a form and manner satisfactory to the Company. The pro-rata vesting of a PSU Award held for at least one year will be based on the number of months worked during the vesting period, including partial months, relative to the full vesting period. </w:t>
      </w:r>
      <w:r>
        <w:rPr>
          <w:rFonts w:ascii="Arial" w:cs="Arial" w:eastAsia="Arial" w:hAnsi="Arial"/>
          <w:sz w:val="20"/>
          <w:szCs w:val="20"/>
          <w:color w:val="221E1F"/>
        </w:rPr>
        <w:t>The pro-rata PSUs will</w:t>
      </w:r>
      <w:r>
        <w:rPr>
          <w:rFonts w:ascii="Arial" w:cs="Arial" w:eastAsia="Arial" w:hAnsi="Arial"/>
          <w:sz w:val="20"/>
          <w:szCs w:val="20"/>
          <w:color w:val="auto"/>
        </w:rPr>
        <w:t xml:space="preserve"> </w:t>
      </w:r>
      <w:r>
        <w:rPr>
          <w:rFonts w:ascii="Arial" w:cs="Arial" w:eastAsia="Arial" w:hAnsi="Arial"/>
          <w:sz w:val="20"/>
          <w:szCs w:val="20"/>
          <w:color w:val="221E1F"/>
        </w:rPr>
        <w:t xml:space="preserve">remain outstanding and eligible to vest on the originally scheduled vest date, following the Committee’s certification of performance results, per the terms of the Award. </w:t>
      </w:r>
      <w:r>
        <w:rPr>
          <w:rFonts w:ascii="Arial" w:cs="Arial" w:eastAsia="Arial" w:hAnsi="Arial"/>
          <w:sz w:val="20"/>
          <w:szCs w:val="20"/>
          <w:color w:val="000000"/>
        </w:rPr>
        <w:t>PSUs not deemed eligible to vest under this pro-rata vesting formula will be</w:t>
      </w:r>
      <w:r>
        <w:rPr>
          <w:rFonts w:ascii="Arial" w:cs="Arial" w:eastAsia="Arial" w:hAnsi="Arial"/>
          <w:sz w:val="20"/>
          <w:szCs w:val="20"/>
          <w:color w:val="221E1F"/>
        </w:rPr>
        <w:t xml:space="preserve"> </w:t>
      </w:r>
      <w:r>
        <w:rPr>
          <w:rFonts w:ascii="Arial" w:cs="Arial" w:eastAsia="Arial" w:hAnsi="Arial"/>
          <w:sz w:val="20"/>
          <w:szCs w:val="20"/>
          <w:color w:val="000000"/>
        </w:rPr>
        <w:t>forfeited as of the Termination Date.</w:t>
      </w:r>
    </w:p>
    <w:p>
      <w:pPr>
        <w:spacing w:after="0" w:line="218"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196" w:lineRule="exact"/>
        <w:rPr>
          <w:sz w:val="20"/>
          <w:szCs w:val="20"/>
          <w:color w:val="auto"/>
        </w:rPr>
      </w:pPr>
    </w:p>
    <w:p>
      <w:pPr>
        <w:ind w:right="980"/>
        <w:spacing w:after="0" w:line="257" w:lineRule="auto"/>
        <w:rPr>
          <w:sz w:val="20"/>
          <w:szCs w:val="20"/>
          <w:color w:val="auto"/>
        </w:rPr>
      </w:pPr>
      <w:r>
        <w:rPr>
          <w:rFonts w:ascii="Arial" w:cs="Arial" w:eastAsia="Arial" w:hAnsi="Arial"/>
          <w:sz w:val="20"/>
          <w:szCs w:val="20"/>
          <w:color w:val="221E1F"/>
        </w:rPr>
        <w:t xml:space="preserve">Pro-rata vesting eligibility will occur for involuntary terminations resulting from </w:t>
      </w:r>
      <w:r>
        <w:rPr>
          <w:rFonts w:ascii="Arial" w:cs="Arial" w:eastAsia="Arial" w:hAnsi="Arial"/>
          <w:sz w:val="20"/>
          <w:szCs w:val="20"/>
          <w:color w:val="000000"/>
        </w:rPr>
        <w:t>workforce reductions, location closings,</w:t>
      </w:r>
      <w:r>
        <w:rPr>
          <w:rFonts w:ascii="Arial" w:cs="Arial" w:eastAsia="Arial" w:hAnsi="Arial"/>
          <w:sz w:val="20"/>
          <w:szCs w:val="20"/>
          <w:color w:val="221E1F"/>
        </w:rPr>
        <w:t xml:space="preserve"> </w:t>
      </w:r>
      <w:r>
        <w:rPr>
          <w:rFonts w:ascii="Arial" w:cs="Arial" w:eastAsia="Arial" w:hAnsi="Arial"/>
          <w:sz w:val="20"/>
          <w:szCs w:val="20"/>
          <w:color w:val="000000"/>
        </w:rPr>
        <w:t>restructurings, layoffs, or similar events, as determined by the Committee or its delegate.</w:t>
      </w:r>
    </w:p>
    <w:p>
      <w:pPr>
        <w:spacing w:after="0" w:line="19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Retirement eligible Participants will be eligible to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prior to the vesting date is not entitled to pro-rata vesting and will forfeit all unvested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4</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65" w:name="page66"/>
    <w:bookmarkEnd w:id="65"/>
    <w:p>
      <w:pPr>
        <w:ind w:right="460"/>
        <w:spacing w:after="0" w:line="241"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PSUs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remains disabled under a Company-sponsored long-term disability plan. Unvested PSUs will remain eligible to vest on the earlier of (1) the vesting date specified in the Award Agreement; or (2) 29 months following the date a Participant incurs a Disability.</w:t>
      </w:r>
    </w:p>
    <w:p>
      <w:pPr>
        <w:spacing w:after="0" w:line="183" w:lineRule="exact"/>
        <w:rPr>
          <w:sz w:val="20"/>
          <w:szCs w:val="20"/>
          <w:color w:val="auto"/>
        </w:rPr>
      </w:pPr>
    </w:p>
    <w:p>
      <w:pPr>
        <w:ind w:right="300"/>
        <w:spacing w:after="0" w:line="258" w:lineRule="auto"/>
        <w:rPr>
          <w:sz w:val="20"/>
          <w:szCs w:val="20"/>
          <w:color w:val="auto"/>
        </w:rPr>
      </w:pPr>
      <w:r>
        <w:rPr>
          <w:rFonts w:ascii="Arial" w:cs="Arial" w:eastAsia="Arial" w:hAnsi="Arial"/>
          <w:sz w:val="19"/>
          <w:szCs w:val="19"/>
          <w:b w:val="1"/>
          <w:bCs w:val="1"/>
          <w:color w:val="auto"/>
        </w:rPr>
        <w:t xml:space="preserve">Authorized Leave of Absence (excluding Personal Leave). </w:t>
      </w:r>
      <w:r>
        <w:rPr>
          <w:rFonts w:ascii="Arial" w:cs="Arial" w:eastAsia="Arial" w:hAnsi="Arial"/>
          <w:sz w:val="19"/>
          <w:szCs w:val="19"/>
          <w:color w:val="auto"/>
        </w:rPr>
        <w:t>If a</w:t>
      </w:r>
      <w:r>
        <w:rPr>
          <w:rFonts w:ascii="Arial" w:cs="Arial" w:eastAsia="Arial" w:hAnsi="Arial"/>
          <w:sz w:val="19"/>
          <w:szCs w:val="19"/>
          <w:b w:val="1"/>
          <w:bCs w:val="1"/>
          <w:color w:val="auto"/>
        </w:rPr>
        <w:t xml:space="preserve"> </w:t>
      </w:r>
      <w:r>
        <w:rPr>
          <w:rFonts w:ascii="Arial" w:cs="Arial" w:eastAsia="Arial" w:hAnsi="Arial"/>
          <w:sz w:val="19"/>
          <w:szCs w:val="19"/>
          <w:color w:val="221E1F"/>
        </w:rPr>
        <w:t>Participant is on a Company authorized leave of absence</w:t>
      </w:r>
      <w:r>
        <w:rPr>
          <w:rFonts w:ascii="Arial" w:cs="Arial" w:eastAsia="Arial" w:hAnsi="Arial"/>
          <w:sz w:val="19"/>
          <w:szCs w:val="19"/>
          <w:b w:val="1"/>
          <w:bCs w:val="1"/>
          <w:color w:val="auto"/>
        </w:rPr>
        <w:t xml:space="preserve"> </w:t>
      </w:r>
      <w:r>
        <w:rPr>
          <w:rFonts w:ascii="Arial" w:cs="Arial" w:eastAsia="Arial" w:hAnsi="Arial"/>
          <w:sz w:val="19"/>
          <w:szCs w:val="19"/>
          <w:color w:val="221E1F"/>
        </w:rPr>
        <w:t>(</w:t>
      </w:r>
      <w:r>
        <w:rPr>
          <w:rFonts w:ascii="Arial" w:cs="Arial" w:eastAsia="Arial" w:hAnsi="Arial"/>
          <w:sz w:val="19"/>
          <w:szCs w:val="19"/>
          <w:color w:val="000000"/>
        </w:rPr>
        <w:t>FMLA, Medical, Military, Parental leave, etc.</w:t>
      </w:r>
      <w:r>
        <w:rPr>
          <w:rFonts w:ascii="Arial" w:cs="Arial" w:eastAsia="Arial" w:hAnsi="Arial"/>
          <w:sz w:val="19"/>
          <w:szCs w:val="19"/>
          <w:color w:val="221E1F"/>
        </w:rPr>
        <w:t>) that is not associated with a Termination of Service, unvested PSUs will remain eligible to vest during the period of leave, subject to the Participant’s continued employment with the Company through the applicable performance measurement period and vesting date and t</w:t>
      </w:r>
      <w:r>
        <w:rPr>
          <w:rFonts w:ascii="Arial" w:cs="Arial" w:eastAsia="Arial" w:hAnsi="Arial"/>
          <w:sz w:val="19"/>
          <w:szCs w:val="19"/>
          <w:color w:val="000000"/>
        </w:rPr>
        <w:t>he Committee’s certification of performance results.</w:t>
      </w:r>
    </w:p>
    <w:p>
      <w:pPr>
        <w:spacing w:after="0" w:line="154"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auto"/>
        </w:rPr>
        <w:t xml:space="preserve">Personal Leave of Absence. </w:t>
      </w:r>
      <w:r>
        <w:rPr>
          <w:rFonts w:ascii="Arial" w:cs="Arial" w:eastAsia="Arial" w:hAnsi="Arial"/>
          <w:sz w:val="20"/>
          <w:szCs w:val="20"/>
          <w:color w:val="auto"/>
        </w:rPr>
        <w:t>A personal leave of absence is an unpaid leave of absence not otherwise covered under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authorized leave policies. </w:t>
      </w:r>
      <w:r>
        <w:rPr>
          <w:rFonts w:ascii="Arial" w:cs="Arial" w:eastAsia="Arial" w:hAnsi="Arial"/>
          <w:sz w:val="20"/>
          <w:szCs w:val="20"/>
          <w:color w:val="221E1F"/>
        </w:rPr>
        <w:t>A participant who is on an extended personal leave of absence during the vesting period (greater than</w:t>
      </w:r>
      <w:r>
        <w:rPr>
          <w:rFonts w:ascii="Arial" w:cs="Arial" w:eastAsia="Arial" w:hAnsi="Arial"/>
          <w:sz w:val="20"/>
          <w:szCs w:val="20"/>
          <w:color w:val="auto"/>
        </w:rPr>
        <w:t xml:space="preserve"> </w:t>
      </w:r>
      <w:r>
        <w:rPr>
          <w:rFonts w:ascii="Arial" w:cs="Arial" w:eastAsia="Arial" w:hAnsi="Arial"/>
          <w:sz w:val="20"/>
          <w:szCs w:val="20"/>
          <w:color w:val="221E1F"/>
        </w:rPr>
        <w:t xml:space="preserve">six (6) months) and who has not returned to active service with the Company as of the vesting date will forfeit their PSU award. The participant may dispute the forfeiture by submitting a detailed exception request to </w:t>
      </w:r>
      <w:r>
        <w:rPr>
          <w:rFonts w:ascii="Arial" w:cs="Arial" w:eastAsia="Arial" w:hAnsi="Arial"/>
          <w:sz w:val="20"/>
          <w:szCs w:val="20"/>
          <w:color w:val="000000"/>
        </w:rPr>
        <w:t>the RTX Stock Plan Administrator at:</w:t>
      </w:r>
      <w:r>
        <w:rPr>
          <w:rFonts w:ascii="Arial" w:cs="Arial" w:eastAsia="Arial" w:hAnsi="Arial"/>
          <w:sz w:val="20"/>
          <w:szCs w:val="20"/>
          <w:color w:val="221E1F"/>
        </w:rPr>
        <w:t xml:space="preserve"> </w:t>
      </w:r>
      <w:r>
        <w:rPr>
          <w:rFonts w:ascii="Arial" w:cs="Arial" w:eastAsia="Arial" w:hAnsi="Arial"/>
          <w:sz w:val="20"/>
          <w:szCs w:val="20"/>
          <w:u w:val="single" w:color="auto"/>
          <w:color w:val="0000FF"/>
        </w:rPr>
        <w:t>rtxstockadmin@rtx.com</w:t>
      </w:r>
      <w:r>
        <w:rPr>
          <w:rFonts w:ascii="Arial" w:cs="Arial" w:eastAsia="Arial" w:hAnsi="Arial"/>
          <w:sz w:val="20"/>
          <w:szCs w:val="20"/>
          <w:color w:val="221E1F"/>
        </w:rPr>
        <w:t>. The decision as to whether to grant an exception will be based on a review of the facts and</w:t>
      </w:r>
      <w:r>
        <w:rPr>
          <w:rFonts w:ascii="Arial" w:cs="Arial" w:eastAsia="Arial" w:hAnsi="Arial"/>
          <w:sz w:val="20"/>
          <w:szCs w:val="20"/>
          <w:color w:val="0000FF"/>
        </w:rPr>
        <w:t xml:space="preserve"> </w:t>
      </w:r>
      <w:r>
        <w:rPr>
          <w:rFonts w:ascii="Arial" w:cs="Arial" w:eastAsia="Arial" w:hAnsi="Arial"/>
          <w:sz w:val="20"/>
          <w:szCs w:val="20"/>
          <w:color w:val="221E1F"/>
        </w:rPr>
        <w:t>circumstances of the leave and whether or not the Company anticipates the Participant to return to their role after the leave period is over.</w:t>
      </w:r>
    </w:p>
    <w:p>
      <w:pPr>
        <w:spacing w:after="0" w:line="199" w:lineRule="exact"/>
        <w:rPr>
          <w:sz w:val="20"/>
          <w:szCs w:val="20"/>
          <w:color w:val="auto"/>
        </w:rPr>
      </w:pPr>
    </w:p>
    <w:p>
      <w:pPr>
        <w:ind w:right="240"/>
        <w:spacing w:after="0" w:line="249"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PSUs will vest as of the date of 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and be converted (at target performance) to shares of Common Stock to be delivered to the Participant’s estate, net of taxes (where applicable), as soon as administratively practicable.</w:t>
      </w:r>
    </w:p>
    <w:p>
      <w:pPr>
        <w:spacing w:after="0" w:line="175" w:lineRule="exact"/>
        <w:rPr>
          <w:sz w:val="20"/>
          <w:szCs w:val="20"/>
          <w:color w:val="auto"/>
        </w:rPr>
      </w:pPr>
    </w:p>
    <w:p>
      <w:pPr>
        <w:ind w:right="240"/>
        <w:spacing w:after="0" w:line="242" w:lineRule="auto"/>
        <w:rPr>
          <w:sz w:val="20"/>
          <w:szCs w:val="20"/>
          <w:color w:val="auto"/>
        </w:rPr>
      </w:pPr>
      <w:r>
        <w:rPr>
          <w:rFonts w:ascii="Arial" w:cs="Arial" w:eastAsia="Arial" w:hAnsi="Arial"/>
          <w:sz w:val="20"/>
          <w:szCs w:val="20"/>
          <w:b w:val="1"/>
          <w:bCs w:val="1"/>
          <w:color w:val="221E1F"/>
        </w:rPr>
        <w:t xml:space="preserve">Rehire. </w:t>
      </w:r>
      <w:r>
        <w:rPr>
          <w:rFonts w:ascii="Arial" w:cs="Arial" w:eastAsia="Arial" w:hAnsi="Arial"/>
          <w:sz w:val="20"/>
          <w:szCs w:val="20"/>
          <w:color w:val="221E1F"/>
        </w:rPr>
        <w:t>If the Company rehires a Participant within 90 days following the Participant’s Termination Date, unvested PSUs that</w:t>
      </w:r>
      <w:r>
        <w:rPr>
          <w:rFonts w:ascii="Arial" w:cs="Arial" w:eastAsia="Arial" w:hAnsi="Arial"/>
          <w:sz w:val="20"/>
          <w:szCs w:val="20"/>
          <w:b w:val="1"/>
          <w:bCs w:val="1"/>
          <w:color w:val="221E1F"/>
        </w:rPr>
        <w:t xml:space="preserve"> </w:t>
      </w:r>
      <w:r>
        <w:rPr>
          <w:rFonts w:ascii="Arial" w:cs="Arial" w:eastAsia="Arial" w:hAnsi="Arial"/>
          <w:sz w:val="20"/>
          <w:szCs w:val="20"/>
          <w:color w:val="221E1F"/>
        </w:rPr>
        <w:t>were forfeited and cancelled because of such termination will be reinstated. If the Company rehires a Participant after 90 days following the Termination Date, the PSUs will remain forfeited and cancelled.</w:t>
      </w:r>
    </w:p>
    <w:p>
      <w:pPr>
        <w:spacing w:after="0" w:line="209"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b w:val="1"/>
          <w:bCs w:val="1"/>
          <w:color w:val="221E1F"/>
        </w:rPr>
        <w:t xml:space="preserve">Change-in-Control Termination. </w:t>
      </w:r>
      <w:r>
        <w:rPr>
          <w:rFonts w:ascii="Arial" w:cs="Arial" w:eastAsia="Arial" w:hAnsi="Arial"/>
          <w:sz w:val="19"/>
          <w:szCs w:val="19"/>
          <w:color w:val="000000"/>
        </w:rPr>
        <w:t>If a Participant’s termination results from an involuntary termination by the Company for</w:t>
      </w:r>
      <w:r>
        <w:rPr>
          <w:rFonts w:ascii="Arial" w:cs="Arial" w:eastAsia="Arial" w:hAnsi="Arial"/>
          <w:sz w:val="19"/>
          <w:szCs w:val="19"/>
          <w:b w:val="1"/>
          <w:bCs w:val="1"/>
          <w:color w:val="221E1F"/>
        </w:rPr>
        <w:t xml:space="preserve"> </w:t>
      </w:r>
      <w:r>
        <w:rPr>
          <w:rFonts w:ascii="Arial" w:cs="Arial" w:eastAsia="Arial" w:hAnsi="Arial"/>
          <w:sz w:val="19"/>
          <w:szCs w:val="19"/>
          <w:color w:val="000000"/>
        </w:rPr>
        <w:t>reasons other than for Cause, or due to the Participant’s voluntary termination for “Good Reason”, in each case, within 24 months following a Change-in-Control in accordance with Section 10(d) of the LTIP (such Termination of Service, a “CIC Termination”), then all PSUs will vest at the greater of: (1) the applicable target level performance as of the Termination Date; or</w:t>
      </w:r>
    </w:p>
    <w:p>
      <w:pPr>
        <w:spacing w:after="0" w:line="1" w:lineRule="exact"/>
        <w:rPr>
          <w:sz w:val="20"/>
          <w:szCs w:val="20"/>
          <w:color w:val="auto"/>
        </w:rPr>
      </w:pPr>
    </w:p>
    <w:p>
      <w:pPr>
        <w:ind w:right="20" w:firstLine="8"/>
        <w:spacing w:after="0" w:line="233" w:lineRule="auto"/>
        <w:tabs>
          <w:tab w:leader="none" w:pos="297"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and be converted into shares of Common Stock (or cash) to be delivered to the Participant as soon as administratively practicable after the Termination Date, subject to the six-month delay noted below under “Specified Employees,” if applicable.</w:t>
      </w:r>
    </w:p>
    <w:p>
      <w:pPr>
        <w:spacing w:after="0" w:line="214"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221E1F"/>
        </w:rPr>
        <w:t xml:space="preserve">Specified Employees. </w:t>
      </w:r>
      <w:r>
        <w:rPr>
          <w:rFonts w:ascii="Arial" w:cs="Arial" w:eastAsia="Arial" w:hAnsi="Arial"/>
          <w:sz w:val="20"/>
          <w:szCs w:val="20"/>
          <w:color w:val="221E1F"/>
        </w:rPr>
        <w:t>If a Participant is a “specified employee” within the meaning of Section 409A of the Code (i.e., generally</w:t>
      </w:r>
      <w:r>
        <w:rPr>
          <w:rFonts w:ascii="Arial" w:cs="Arial" w:eastAsia="Arial" w:hAnsi="Arial"/>
          <w:sz w:val="20"/>
          <w:szCs w:val="20"/>
          <w:b w:val="1"/>
          <w:bCs w:val="1"/>
          <w:color w:val="221E1F"/>
        </w:rPr>
        <w:t xml:space="preserve"> </w:t>
      </w:r>
      <w:r>
        <w:rPr>
          <w:rFonts w:ascii="Arial" w:cs="Arial" w:eastAsia="Arial" w:hAnsi="Arial"/>
          <w:sz w:val="20"/>
          <w:szCs w:val="20"/>
          <w:color w:val="221E1F"/>
        </w:rPr>
        <w:t>the fifty highest paid employees, as determined by the Company) at the time of the Participant’s Termination of Service, and PSUs are accelerated and will vest by reason of such Participant’s Termination of Service (e.g., Change-in-Control Termination), then, to the extent necessary to avoid the application of any additional tax or penalty under IRC Section 409A and consistent with the terms of the Plan, PSUs will be held in the Participant’s UBS account and will vest on the first day of the seventh month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2" w:right="339" w:bottom="1440" w:gutter="0" w:footer="0" w:header="0"/>
        </w:sectPr>
      </w:pPr>
    </w:p>
    <w:bookmarkStart w:id="66" w:name="page67"/>
    <w:bookmarkEnd w:id="66"/>
    <w:p>
      <w:pPr>
        <w:ind w:right="260"/>
        <w:spacing w:after="0" w:line="257" w:lineRule="auto"/>
        <w:rPr>
          <w:sz w:val="20"/>
          <w:szCs w:val="20"/>
          <w:color w:val="auto"/>
        </w:rPr>
      </w:pPr>
      <w:r>
        <w:rPr>
          <w:rFonts w:ascii="Arial" w:cs="Arial" w:eastAsia="Arial" w:hAnsi="Arial"/>
          <w:sz w:val="20"/>
          <w:szCs w:val="20"/>
          <w:color w:val="221E1F"/>
        </w:rPr>
        <w:t>Participant’s Termination Date. Upon vest, PSUs will convert into an equal number of shares of Common Stock (or cash). The value of the PSUs will be determined as of the vest date.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04" w:lineRule="exact"/>
        <w:rPr>
          <w:sz w:val="20"/>
          <w:szCs w:val="20"/>
          <w:color w:val="auto"/>
        </w:rPr>
      </w:pPr>
    </w:p>
    <w:p>
      <w:pPr>
        <w:ind w:right="180"/>
        <w:spacing w:after="0" w:line="245" w:lineRule="auto"/>
        <w:rPr>
          <w:sz w:val="20"/>
          <w:szCs w:val="20"/>
          <w:color w:val="auto"/>
        </w:rPr>
      </w:pPr>
      <w:r>
        <w:rPr>
          <w:rFonts w:ascii="Arial" w:cs="Arial" w:eastAsia="Arial" w:hAnsi="Arial"/>
          <w:sz w:val="20"/>
          <w:szCs w:val="20"/>
          <w:color w:val="221E1F"/>
        </w:rPr>
        <w:t xml:space="preserve">PSU Awards, including Common Stock delivered for vested PSUs, are subject to the applicable RTX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PSUs will be immediately forfeited and a Participant may be obligated to repay to the Company the value realized from previously vested PSUs upon the occurrence of any of the following events:</w:t>
      </w:r>
    </w:p>
    <w:p>
      <w:pPr>
        <w:spacing w:after="0" w:line="168" w:lineRule="exact"/>
        <w:rPr>
          <w:sz w:val="20"/>
          <w:szCs w:val="20"/>
          <w:color w:val="auto"/>
        </w:rPr>
      </w:pPr>
    </w:p>
    <w:p>
      <w:pPr>
        <w:ind w:left="800" w:hanging="468"/>
        <w:spacing w:after="0"/>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Termination for Cause (as defined in the LTIP) or for violation of the RTX Code of Conduct;</w:t>
      </w:r>
    </w:p>
    <w:p>
      <w:pPr>
        <w:spacing w:after="0" w:line="215" w:lineRule="exact"/>
        <w:rPr>
          <w:rFonts w:ascii="Arial" w:cs="Arial" w:eastAsia="Arial" w:hAnsi="Arial"/>
          <w:sz w:val="20"/>
          <w:szCs w:val="20"/>
          <w:color w:val="auto"/>
        </w:rPr>
      </w:pPr>
    </w:p>
    <w:p>
      <w:pPr>
        <w:ind w:left="820" w:hanging="488"/>
        <w:spacing w:after="0" w:line="247" w:lineRule="auto"/>
        <w:tabs>
          <w:tab w:leader="none" w:pos="817" w:val="left"/>
        </w:tabs>
        <w:numPr>
          <w:ilvl w:val="0"/>
          <w:numId w:val="22"/>
        </w:numPr>
        <w:rPr>
          <w:rFonts w:ascii="Arial" w:cs="Arial" w:eastAsia="Arial" w:hAnsi="Arial"/>
          <w:sz w:val="22"/>
          <w:szCs w:val="22"/>
          <w:color w:val="auto"/>
        </w:rPr>
      </w:pPr>
      <w:r>
        <w:rPr>
          <w:rFonts w:ascii="Arial" w:cs="Arial" w:eastAsia="Arial" w:hAnsi="Arial"/>
          <w:sz w:val="20"/>
          <w:szCs w:val="20"/>
          <w:color w:val="auto"/>
        </w:rPr>
        <w:t>The Committee determines that Award vesting was based on incorrect performance measurement calculations. In such event, vesting (and recoupment, if applicable) will be adjusted consistent with the actual corrected results;</w:t>
      </w:r>
    </w:p>
    <w:p>
      <w:pPr>
        <w:spacing w:after="0" w:line="56" w:lineRule="exact"/>
        <w:rPr>
          <w:rFonts w:ascii="Arial" w:cs="Arial" w:eastAsia="Arial" w:hAnsi="Arial"/>
          <w:sz w:val="22"/>
          <w:szCs w:val="22"/>
          <w:color w:val="auto"/>
        </w:rPr>
      </w:pPr>
    </w:p>
    <w:p>
      <w:pPr>
        <w:ind w:left="820" w:right="200" w:hanging="488"/>
        <w:spacing w:after="0" w:line="247" w:lineRule="auto"/>
        <w:tabs>
          <w:tab w:leader="none" w:pos="811" w:val="left"/>
        </w:tabs>
        <w:numPr>
          <w:ilvl w:val="0"/>
          <w:numId w:val="22"/>
        </w:numPr>
        <w:rPr>
          <w:rFonts w:ascii="Arial" w:cs="Arial" w:eastAsia="Arial" w:hAnsi="Arial"/>
          <w:sz w:val="22"/>
          <w:szCs w:val="22"/>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56" w:lineRule="exact"/>
        <w:rPr>
          <w:rFonts w:ascii="Arial" w:cs="Arial" w:eastAsia="Arial" w:hAnsi="Arial"/>
          <w:sz w:val="22"/>
          <w:szCs w:val="22"/>
          <w:color w:val="auto"/>
        </w:rPr>
      </w:pPr>
    </w:p>
    <w:p>
      <w:pPr>
        <w:ind w:left="800" w:hanging="468"/>
        <w:spacing w:after="0"/>
        <w:tabs>
          <w:tab w:leader="none" w:pos="800" w:val="left"/>
        </w:tabs>
        <w:numPr>
          <w:ilvl w:val="0"/>
          <w:numId w:val="22"/>
        </w:numPr>
        <w:rPr>
          <w:rFonts w:ascii="Arial" w:cs="Arial" w:eastAsia="Arial" w:hAnsi="Arial"/>
          <w:sz w:val="22"/>
          <w:szCs w:val="22"/>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84" w:lineRule="exact"/>
        <w:rPr>
          <w:rFonts w:ascii="Arial" w:cs="Arial" w:eastAsia="Arial" w:hAnsi="Arial"/>
          <w:sz w:val="22"/>
          <w:szCs w:val="22"/>
          <w:color w:val="auto"/>
        </w:rPr>
      </w:pPr>
    </w:p>
    <w:p>
      <w:pPr>
        <w:ind w:left="820" w:hanging="488"/>
        <w:spacing w:after="0"/>
        <w:tabs>
          <w:tab w:leader="none" w:pos="820" w:val="left"/>
        </w:tabs>
        <w:numPr>
          <w:ilvl w:val="0"/>
          <w:numId w:val="22"/>
        </w:numPr>
        <w:rPr>
          <w:rFonts w:ascii="Arial" w:cs="Arial" w:eastAsia="Arial" w:hAnsi="Arial"/>
          <w:sz w:val="22"/>
          <w:szCs w:val="22"/>
          <w:color w:val="auto"/>
        </w:rPr>
      </w:pPr>
      <w:r>
        <w:rPr>
          <w:rFonts w:ascii="Arial" w:cs="Arial" w:eastAsia="Arial" w:hAnsi="Arial"/>
          <w:sz w:val="20"/>
          <w:szCs w:val="20"/>
          <w:color w:val="auto"/>
        </w:rPr>
        <w:t>Within twenty-four months following a Participant’s Termination Date, the Participant:</w:t>
      </w:r>
    </w:p>
    <w:p>
      <w:pPr>
        <w:spacing w:after="0" w:line="57" w:lineRule="exact"/>
        <w:rPr>
          <w:rFonts w:ascii="Arial" w:cs="Arial" w:eastAsia="Arial" w:hAnsi="Arial"/>
          <w:sz w:val="22"/>
          <w:szCs w:val="22"/>
          <w:color w:val="auto"/>
        </w:rPr>
      </w:pPr>
    </w:p>
    <w:p>
      <w:pPr>
        <w:ind w:left="1300" w:right="700" w:hanging="482"/>
        <w:spacing w:after="0" w:line="271" w:lineRule="auto"/>
        <w:tabs>
          <w:tab w:leader="none" w:pos="1294" w:val="left"/>
        </w:tabs>
        <w:numPr>
          <w:ilvl w:val="1"/>
          <w:numId w:val="22"/>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42" w:lineRule="exact"/>
        <w:rPr>
          <w:rFonts w:ascii="Arial" w:cs="Arial" w:eastAsia="Arial" w:hAnsi="Arial"/>
          <w:sz w:val="20"/>
          <w:szCs w:val="20"/>
          <w:color w:val="auto"/>
        </w:rPr>
      </w:pPr>
    </w:p>
    <w:p>
      <w:pPr>
        <w:ind w:left="1300" w:right="100" w:hanging="482"/>
        <w:spacing w:after="0" w:line="271" w:lineRule="auto"/>
        <w:tabs>
          <w:tab w:leader="none" w:pos="1294" w:val="left"/>
        </w:tabs>
        <w:numPr>
          <w:ilvl w:val="1"/>
          <w:numId w:val="22"/>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w:t>
      </w:r>
    </w:p>
    <w:p>
      <w:pPr>
        <w:spacing w:after="0" w:line="142" w:lineRule="exact"/>
        <w:rPr>
          <w:rFonts w:ascii="Arial" w:cs="Arial" w:eastAsia="Arial" w:hAnsi="Arial"/>
          <w:sz w:val="20"/>
          <w:szCs w:val="20"/>
          <w:color w:val="auto"/>
        </w:rPr>
      </w:pPr>
    </w:p>
    <w:p>
      <w:pPr>
        <w:ind w:left="820" w:hanging="488"/>
        <w:spacing w:after="0" w:line="236" w:lineRule="auto"/>
        <w:tabs>
          <w:tab w:leader="none" w:pos="811"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Except where prohibited by law, including the state of California, at any time during the twelve-month period following a Participant’s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70" w:lineRule="exact"/>
        <w:rPr>
          <w:rFonts w:ascii="Arial" w:cs="Arial" w:eastAsia="Arial" w:hAnsi="Arial"/>
          <w:sz w:val="20"/>
          <w:szCs w:val="20"/>
          <w:color w:val="auto"/>
        </w:rPr>
      </w:pPr>
    </w:p>
    <w:p>
      <w:pPr>
        <w:ind w:left="820" w:right="180" w:hanging="488"/>
        <w:spacing w:after="0" w:line="247" w:lineRule="auto"/>
        <w:tabs>
          <w:tab w:leader="none" w:pos="817" w:val="left"/>
        </w:tabs>
        <w:numPr>
          <w:ilvl w:val="0"/>
          <w:numId w:val="22"/>
        </w:numPr>
        <w:rPr>
          <w:rFonts w:ascii="Arial" w:cs="Arial" w:eastAsia="Arial" w:hAnsi="Arial"/>
          <w:sz w:val="22"/>
          <w:szCs w:val="22"/>
          <w:color w:val="auto"/>
        </w:rPr>
      </w:pPr>
      <w:r>
        <w:rPr>
          <w:rFonts w:ascii="Arial" w:cs="Arial" w:eastAsia="Arial" w:hAnsi="Arial"/>
          <w:sz w:val="20"/>
          <w:szCs w:val="20"/>
          <w:color w:val="auto"/>
        </w:rPr>
        <w:t>Negligent conduct injurious to the Company, including negligent supervision of a subordinate whose action requires a restatement of financial results, or other significant harm to the Company as determined by the Committee;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67" w:name="page68"/>
    <w:bookmarkEnd w:id="67"/>
    <w:p>
      <w:pPr>
        <w:spacing w:after="0" w:line="325" w:lineRule="exact"/>
        <w:rPr>
          <w:sz w:val="20"/>
          <w:szCs w:val="20"/>
          <w:color w:val="auto"/>
        </w:rPr>
      </w:pPr>
    </w:p>
    <w:p>
      <w:pPr>
        <w:ind w:left="800" w:hanging="468"/>
        <w:spacing w:after="0"/>
        <w:tabs>
          <w:tab w:leader="none" w:pos="800" w:val="left"/>
        </w:tabs>
        <w:numPr>
          <w:ilvl w:val="0"/>
          <w:numId w:val="23"/>
        </w:numPr>
        <w:rPr>
          <w:rFonts w:ascii="Arial" w:cs="Arial" w:eastAsia="Arial" w:hAnsi="Arial"/>
          <w:sz w:val="21"/>
          <w:szCs w:val="21"/>
          <w:color w:val="auto"/>
        </w:rPr>
      </w:pPr>
      <w:r>
        <w:rPr>
          <w:rFonts w:ascii="Arial" w:cs="Arial" w:eastAsia="Arial" w:hAnsi="Arial"/>
          <w:sz w:val="19"/>
          <w:szCs w:val="19"/>
          <w:color w:val="auto"/>
        </w:rPr>
        <w:t>A Participant’s misappropriation of RTX Intellectual Property or violation of his/her Intellectual Property (IP) Agreement.</w:t>
      </w:r>
    </w:p>
    <w:p>
      <w:pPr>
        <w:spacing w:after="0" w:line="69"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color w:val="221E1F"/>
        </w:rPr>
        <w:t>In addition, the Committee reserves the right to require repayment of all or any portion of a PSU Award under item (iv) above, without regard to whether a restatement is attributable to the Participant’s actions, as appropriate and determined at the Committee’s sole discretion.</w:t>
      </w:r>
    </w:p>
    <w:p>
      <w:pPr>
        <w:spacing w:after="0" w:line="192"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w:t>
      </w:r>
      <w:r>
        <w:rPr>
          <w:rFonts w:ascii="Arial" w:cs="Arial" w:eastAsia="Arial" w:hAnsi="Arial"/>
          <w:sz w:val="20"/>
          <w:szCs w:val="20"/>
          <w:color w:val="0000FF"/>
        </w:rPr>
        <w:t xml:space="preserve"> </w:t>
      </w:r>
      <w:r>
        <w:rPr>
          <w:rFonts w:ascii="Arial" w:cs="Arial" w:eastAsia="Arial" w:hAnsi="Arial"/>
          <w:sz w:val="20"/>
          <w:szCs w:val="20"/>
          <w:color w:val="221E1F"/>
        </w:rPr>
        <w:t>the applicable RTX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18" w:lineRule="exact"/>
        <w:rPr>
          <w:sz w:val="20"/>
          <w:szCs w:val="20"/>
          <w:color w:val="auto"/>
        </w:rPr>
      </w:pPr>
    </w:p>
    <w:p>
      <w:pPr>
        <w:jc w:val="both"/>
        <w:ind w:right="400"/>
        <w:spacing w:after="0" w:line="268"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PSU Awards may be adjusted as determined by the Committee, in its sole discretion.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221E1F"/>
        </w:rPr>
        <w:t>Further information concerning capital adjustments is set forth in Section 3(e) of the LTIP, available at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04"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221E1F"/>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or Performance Goals, as the Committee may deem appropriate. Further details concerning Change-in-Control are set forth in Section 10 of the LTIP, available 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31" w:lineRule="exact"/>
        <w:rPr>
          <w:sz w:val="20"/>
          <w:szCs w:val="20"/>
          <w:color w:val="auto"/>
        </w:rPr>
      </w:pPr>
    </w:p>
    <w:p>
      <w:pPr>
        <w:ind w:right="380"/>
        <w:spacing w:after="0" w:line="256" w:lineRule="auto"/>
        <w:rPr>
          <w:sz w:val="20"/>
          <w:szCs w:val="20"/>
          <w:color w:val="auto"/>
        </w:rPr>
      </w:pPr>
      <w:r>
        <w:rPr>
          <w:rFonts w:ascii="Arial" w:cs="Arial" w:eastAsia="Arial" w:hAnsi="Arial"/>
          <w:sz w:val="19"/>
          <w:szCs w:val="19"/>
          <w:color w:val="221E1F"/>
        </w:rPr>
        <w:t>PSU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7</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PSUs. The provisions of Section 14(d) (Required Taxes) of the LTIP apply to this Award. The Company shall have the right to deduct directly from any payment or delivery of shares due to a Participant or from Participant’s regular compensation to effect compliance with all Tax-Related Items, including withholding and reporting with respect to the vesting of any PSU. Acceptance of an Award constitutes affirmative consent by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w:t>
      </w:r>
      <w:r>
        <w:rPr>
          <w:rFonts w:ascii="Arial" w:cs="Arial" w:eastAsia="Arial" w:hAnsi="Arial"/>
          <w:sz w:val="20"/>
          <w:szCs w:val="20"/>
          <w:color w:val="221E1F"/>
        </w:rPr>
        <w:t xml:space="preserve"> </w:t>
      </w:r>
      <w:r>
        <w:rPr>
          <w:rFonts w:ascii="Arial" w:cs="Arial" w:eastAsia="Arial" w:hAnsi="Arial"/>
          <w:sz w:val="20"/>
          <w:szCs w:val="20"/>
          <w:color w:val="211F1F"/>
        </w:rPr>
        <w:t xml:space="preserve">tax in more than one 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w:t>
      </w:r>
      <w:r>
        <w:rPr>
          <w:rFonts w:ascii="Arial" w:cs="Arial" w:eastAsia="Arial" w:hAnsi="Arial"/>
          <w:sz w:val="20"/>
          <w:szCs w:val="20"/>
          <w:color w:val="211F1F"/>
        </w:rPr>
        <w:t xml:space="preserve"> </w:t>
      </w:r>
      <w:r>
        <w:rPr>
          <w:rFonts w:ascii="Arial" w:cs="Arial" w:eastAsia="Arial" w:hAnsi="Arial"/>
          <w:sz w:val="20"/>
          <w:szCs w:val="20"/>
          <w:color w:val="221E1F"/>
        </w:rPr>
        <w:t>those countries where there is no 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the Participant fails to comply with his or her obligations in connection with Tax-Related Items.</w:t>
      </w:r>
    </w:p>
    <w:p>
      <w:pPr>
        <w:spacing w:after="0" w:line="206"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221E1F"/>
        </w:rPr>
        <w:t>If the Participant is a Section 16 officer of the Company under Section 16 of the Securities Exchange Act of 1934, as amended, at the time that a taxable event occurs, then the Company shall satisfy the Participant’s withholding obligation as follows: (i) with respect to FICA taxes due and owing prior the vesting of the PSU Award; and (ii) with respect to any other Tax-Related Items, the Company shall satisfy the withholding obligation by withholding shares of Common Stock converted from PSUs under the Award having a Fair Market Value on the date of withholding equal to the amount required to be withheld for tax purposes (calculated using the minimum statutory withholding rate, except as otherwise approved by the Committee, or its delegate). Provided for both items (i) and (ii) above, t</w:t>
      </w:r>
      <w:r>
        <w:rPr>
          <w:rFonts w:ascii="Arial" w:cs="Arial" w:eastAsia="Arial" w:hAnsi="Arial"/>
          <w:sz w:val="20"/>
          <w:szCs w:val="20"/>
          <w:color w:val="000000"/>
        </w:rPr>
        <w:t>he Committee retains the right to determine an alternative method of withholding for</w:t>
      </w:r>
      <w:r>
        <w:rPr>
          <w:rFonts w:ascii="Arial" w:cs="Arial" w:eastAsia="Arial" w:hAnsi="Arial"/>
          <w:sz w:val="20"/>
          <w:szCs w:val="20"/>
          <w:color w:val="221E1F"/>
        </w:rPr>
        <w:t xml:space="preserve"> </w:t>
      </w:r>
      <w:r>
        <w:rPr>
          <w:rFonts w:ascii="Arial" w:cs="Arial" w:eastAsia="Arial" w:hAnsi="Arial"/>
          <w:sz w:val="20"/>
          <w:szCs w:val="20"/>
          <w:color w:val="000000"/>
        </w:rPr>
        <w:t>the Participant, at its sole discretion, provided in all cases, such determination shall be made by the Committee prior to the Tax-Related Items withholding event.</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Deferral of Gain (U.S. based executives)</w:t>
      </w:r>
    </w:p>
    <w:p>
      <w:pPr>
        <w:spacing w:after="0" w:line="204"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221E1F"/>
        </w:rPr>
        <w:t>If an opportunity to defer PSUs is offered for this 2025 grant, a Participant who is qualified to participate in the Company’s Performance Share Unit Deferral Plan may irrevocably elect to defer the conversion of vested PSUs into shares of Common Stock to a date that is at least five years after the scheduled vesting date. The election to defer the conversion of shares must be made no later than the end of the second year of the performance measurement period, or such earlier date as may be specified by the Committee. Vested PSUs subject to a deferral election will be converted to unfunded deferred share units (“DSUs”) that will convert into shares of Common Stock on the distribution date as specified in the deferral election and the Performance Share Unit Deferral Plan. DSUs will be credited with dividend equivalent units when the Company pays a dividend to shareholders, which will be deferred and invested in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8</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40" w:right="339" w:bottom="1440" w:gutter="0" w:footer="0" w:header="0"/>
        </w:sectPr>
      </w:pPr>
    </w:p>
    <w:bookmarkStart w:id="69" w:name="page70"/>
    <w:bookmarkEnd w:id="69"/>
    <w:p>
      <w:pPr>
        <w:ind w:right="200"/>
        <w:spacing w:after="0" w:line="238" w:lineRule="auto"/>
        <w:rPr>
          <w:sz w:val="20"/>
          <w:szCs w:val="20"/>
          <w:color w:val="auto"/>
        </w:rPr>
      </w:pPr>
      <w:r>
        <w:rPr>
          <w:rFonts w:ascii="Arial" w:cs="Arial" w:eastAsia="Arial" w:hAnsi="Arial"/>
          <w:sz w:val="20"/>
          <w:szCs w:val="20"/>
          <w:color w:val="221E1F"/>
        </w:rPr>
        <w:t>DSUs. Under U.S. income tax law, a Participant will generally not be taxed until the DSUs are converted to shares of Common Stock and distributed. DSUs will not be funded by the Company. In this regard, a Participant’s rights to DSUs are those of a general unsecured creditor of the Company. Details of the deferral of PSUs into DSUs will be provided with election materials. The opportunity to make such an election is subject to the discretion of the Committee and changes in Federal tax law. The Committee reserves the right to determine whether a deferral election will be offered to Participants with respect to an annual award of PSUs, and to discontinue offering PSU deferral elections at any time for any reason it deems appropriate in its sole discretion.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04" w:lineRule="exact"/>
        <w:rPr>
          <w:sz w:val="20"/>
          <w:szCs w:val="20"/>
          <w:color w:val="auto"/>
        </w:rPr>
      </w:pPr>
    </w:p>
    <w:p>
      <w:pPr>
        <w:ind w:right="440"/>
        <w:spacing w:after="0" w:line="248" w:lineRule="auto"/>
        <w:rPr>
          <w:sz w:val="20"/>
          <w:szCs w:val="20"/>
          <w:color w:val="auto"/>
        </w:rPr>
      </w:pPr>
      <w:r>
        <w:rPr>
          <w:rFonts w:ascii="Arial" w:cs="Arial" w:eastAsia="Arial" w:hAnsi="Arial"/>
          <w:sz w:val="20"/>
          <w:szCs w:val="20"/>
          <w:color w:val="221E1F"/>
        </w:rPr>
        <w:t>No assignment or transfer of any right or interest of a Participant in any PSU Award, whether voluntary or involuntary, by operation of law or otherwise, is permitted except by will or the laws of descent and distribution. Any other attempt to assign such rights or interest shall be void and without force or effect.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04" w:lineRule="exact"/>
        <w:rPr>
          <w:sz w:val="20"/>
          <w:szCs w:val="20"/>
          <w:color w:val="auto"/>
        </w:rPr>
      </w:pPr>
    </w:p>
    <w:p>
      <w:pPr>
        <w:jc w:val="both"/>
        <w:ind w:right="80"/>
        <w:spacing w:after="0"/>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04"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211E1F"/>
        </w:rPr>
        <w:t>Nothing in the LTIP or in any PSU Award shall confer upon any Participant the right to continued employment or service for any period of time or affect any right that the Company may have to terminate the employment of any Participant at any time for any reason.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8"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 on any matter related to an Award shall be binding, final, and conclusive on all parties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9</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Data Privacy</w:t>
      </w:r>
    </w:p>
    <w:p>
      <w:pPr>
        <w:spacing w:after="0" w:line="204"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04"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221E1F"/>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221E1F"/>
        </w:rPr>
        <w:t>. The Company is also required to be compliant 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04"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221E1F"/>
        </w:rPr>
        <w:t xml:space="preserve">This Schedule of Terms provides a summary of terms applicable to the PSU Award. This Schedule of Terms and each Award 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31" w:lineRule="exact"/>
        <w:rPr>
          <w:sz w:val="20"/>
          <w:szCs w:val="20"/>
          <w:color w:val="auto"/>
        </w:rPr>
      </w:pPr>
    </w:p>
    <w:p>
      <w:pPr>
        <w:ind w:right="1220"/>
        <w:spacing w:after="0" w:line="271" w:lineRule="auto"/>
        <w:rPr>
          <w:sz w:val="20"/>
          <w:szCs w:val="20"/>
          <w:color w:val="auto"/>
        </w:rPr>
      </w:pPr>
      <w:r>
        <w:rPr>
          <w:rFonts w:ascii="Arial" w:cs="Arial" w:eastAsia="Arial" w:hAnsi="Arial"/>
          <w:sz w:val="20"/>
          <w:szCs w:val="20"/>
          <w:color w:val="auto"/>
        </w:rPr>
        <w:t xml:space="preserve">Questions concerning the LTIP or Awards and requests for LTIP documents can be directed to the RTX Stock Plan Administrator by emailing: </w:t>
      </w:r>
      <w:r>
        <w:rPr>
          <w:rFonts w:ascii="Arial" w:cs="Arial" w:eastAsia="Arial" w:hAnsi="Arial"/>
          <w:sz w:val="20"/>
          <w:szCs w:val="20"/>
          <w:u w:val="single" w:color="auto"/>
          <w:color w:val="0000FF"/>
        </w:rPr>
        <w:t>rtxstockadmin@rtx.com.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10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2" w:right="339" w:bottom="1440" w:gutter="0" w:footer="0" w:header="0"/>
        </w:sectPr>
      </w:pPr>
    </w:p>
    <w:bookmarkStart w:id="71" w:name="page72"/>
    <w:bookmarkEnd w:id="71"/>
    <w:p>
      <w:pPr>
        <w:ind w:right="80"/>
        <w:spacing w:after="0" w:line="268" w:lineRule="auto"/>
        <w:rPr>
          <w:sz w:val="20"/>
          <w:szCs w:val="20"/>
          <w:color w:val="auto"/>
        </w:rPr>
      </w:pPr>
      <w:r>
        <w:rPr>
          <w:rFonts w:ascii="Arial" w:cs="Arial" w:eastAsia="Arial" w:hAnsi="Arial"/>
          <w:sz w:val="19"/>
          <w:szCs w:val="19"/>
          <w:color w:val="auto"/>
        </w:rPr>
        <w:t xml:space="preserve">The Corporation and/or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221E1F"/>
        </w:rPr>
        <w:t>11</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40"/>
          </w:cols>
          <w:pgMar w:left="320" w:top="1414" w:right="3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22"/>
          <w:szCs w:val="22"/>
          <w:b w:val="1"/>
          <w:bCs w:val="1"/>
          <w:color w:val="auto"/>
        </w:rPr>
        <w:t>Appendix A: 2025 PSU Performance Goals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illustrates the Performance Goals for the 2025-2027 performance cycle.</w:t>
      </w:r>
    </w:p>
    <w:p>
      <w:pPr>
        <w:spacing w:after="0" w:line="229" w:lineRule="exact"/>
        <w:rPr>
          <w:sz w:val="20"/>
          <w:szCs w:val="20"/>
          <w:color w:val="auto"/>
        </w:rPr>
      </w:pPr>
    </w:p>
    <w:p>
      <w:pPr>
        <w:ind w:right="200"/>
        <w:spacing w:after="0" w:line="245" w:lineRule="auto"/>
        <w:rPr>
          <w:sz w:val="20"/>
          <w:szCs w:val="20"/>
          <w:color w:val="auto"/>
        </w:rPr>
      </w:pPr>
      <w:r>
        <w:rPr>
          <w:rFonts w:ascii="Arial" w:cs="Arial" w:eastAsia="Arial" w:hAnsi="Arial"/>
          <w:sz w:val="20"/>
          <w:szCs w:val="20"/>
          <w:color w:val="auto"/>
        </w:rPr>
        <w:t>Threshold, target and maximum Performance Goals each have a corresponding payout percentage, and each metric is measured and funded independently. Performance below the threshold level will result in 0% payout, while performance above the maximum level cannot exceed the maximum payout level. Performance that falls between the threshold, target and maximum levels will results in a payout that is based on a straight line interpolated between the applicable levels.</w:t>
      </w:r>
    </w:p>
    <w:p>
      <w:pPr>
        <w:spacing w:after="0" w:line="195" w:lineRule="exact"/>
        <w:rPr>
          <w:sz w:val="20"/>
          <w:szCs w:val="20"/>
          <w:color w:val="auto"/>
        </w:rPr>
      </w:pPr>
    </w:p>
    <w:p>
      <w:pPr>
        <w:ind w:right="320"/>
        <w:spacing w:after="0" w:line="284" w:lineRule="auto"/>
        <w:rPr>
          <w:sz w:val="20"/>
          <w:szCs w:val="20"/>
          <w:color w:val="auto"/>
        </w:rPr>
      </w:pPr>
      <w:r>
        <w:rPr>
          <w:rFonts w:ascii="Arial" w:cs="Arial" w:eastAsia="Arial" w:hAnsi="Arial"/>
          <w:sz w:val="19"/>
          <w:szCs w:val="19"/>
          <w:color w:val="auto"/>
        </w:rPr>
        <w:t>The final Performance Factor will be based on the Company’s actual achievement against these Performance Goals at the conclusion of the award’s performance cycle and will equal the sum of the four payout percentages after weighting is applied.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357"/>
        </w:trPr>
        <w:tc>
          <w:tcPr>
            <w:tcW w:w="1980" w:type="dxa"/>
            <w:vAlign w:val="bottom"/>
            <w:tcBorders>
              <w:top w:val="single" w:sz="8" w:color="auto"/>
              <w:left w:val="single" w:sz="8" w:color="auto"/>
              <w:right w:val="single" w:sz="8" w:color="auto"/>
            </w:tcBorders>
            <w:shd w:val="clear" w:color="auto" w:fill="C00000"/>
          </w:tcPr>
          <w:p>
            <w:pPr>
              <w:spacing w:after="0"/>
              <w:rPr>
                <w:sz w:val="24"/>
                <w:szCs w:val="24"/>
                <w:color w:val="auto"/>
              </w:rPr>
            </w:pPr>
          </w:p>
        </w:tc>
        <w:tc>
          <w:tcPr>
            <w:tcW w:w="960" w:type="dxa"/>
            <w:vAlign w:val="bottom"/>
            <w:tcBorders>
              <w:top w:val="single" w:sz="8" w:color="auto"/>
              <w:right w:val="single" w:sz="8" w:color="auto"/>
            </w:tcBorders>
            <w:shd w:val="clear" w:color="auto" w:fill="C00000"/>
          </w:tcPr>
          <w:p>
            <w:pPr>
              <w:spacing w:after="0"/>
              <w:rPr>
                <w:sz w:val="24"/>
                <w:szCs w:val="24"/>
                <w:color w:val="auto"/>
              </w:rPr>
            </w:pPr>
          </w:p>
        </w:tc>
        <w:tc>
          <w:tcPr>
            <w:tcW w:w="1240" w:type="dxa"/>
            <w:vAlign w:val="bottom"/>
            <w:tcBorders>
              <w:top w:val="single" w:sz="8" w:color="auto"/>
            </w:tcBorders>
            <w:shd w:val="clear" w:color="auto" w:fill="C00000"/>
          </w:tcPr>
          <w:p>
            <w:pPr>
              <w:spacing w:after="0"/>
              <w:rPr>
                <w:sz w:val="24"/>
                <w:szCs w:val="24"/>
                <w:color w:val="auto"/>
              </w:rPr>
            </w:pPr>
          </w:p>
        </w:tc>
        <w:tc>
          <w:tcPr>
            <w:tcW w:w="1620" w:type="dxa"/>
            <w:vAlign w:val="bottom"/>
            <w:tcBorders>
              <w:top w:val="single" w:sz="8" w:color="auto"/>
            </w:tcBorders>
            <w:gridSpan w:val="3"/>
            <w:shd w:val="clear" w:color="auto" w:fill="C00000"/>
          </w:tcPr>
          <w:p>
            <w:pPr>
              <w:jc w:val="center"/>
              <w:spacing w:after="0"/>
              <w:rPr>
                <w:sz w:val="20"/>
                <w:szCs w:val="20"/>
                <w:color w:val="auto"/>
              </w:rPr>
            </w:pPr>
            <w:r>
              <w:rPr>
                <w:rFonts w:ascii="Arial" w:cs="Arial" w:eastAsia="Arial" w:hAnsi="Arial"/>
                <w:sz w:val="16"/>
                <w:szCs w:val="16"/>
                <w:b w:val="1"/>
                <w:bCs w:val="1"/>
                <w:color w:val="FFFFFF"/>
              </w:rPr>
              <w:t>Performance Goals</w:t>
            </w:r>
          </w:p>
        </w:tc>
        <w:tc>
          <w:tcPr>
            <w:tcW w:w="1280" w:type="dxa"/>
            <w:vAlign w:val="bottom"/>
            <w:tcBorders>
              <w:top w:val="single" w:sz="8" w:color="auto"/>
              <w:right w:val="single" w:sz="8" w:color="auto"/>
            </w:tcBorders>
            <w:shd w:val="clear" w:color="auto" w:fill="C00000"/>
          </w:tcPr>
          <w:p>
            <w:pPr>
              <w:spacing w:after="0"/>
              <w:rPr>
                <w:sz w:val="24"/>
                <w:szCs w:val="24"/>
                <w:color w:val="auto"/>
              </w:rPr>
            </w:pPr>
          </w:p>
        </w:tc>
        <w:tc>
          <w:tcPr>
            <w:tcW w:w="1100" w:type="dxa"/>
            <w:vAlign w:val="bottom"/>
            <w:tcBorders>
              <w:top w:val="single" w:sz="8" w:color="auto"/>
            </w:tcBorders>
            <w:shd w:val="clear" w:color="auto" w:fill="C00000"/>
          </w:tcPr>
          <w:p>
            <w:pPr>
              <w:spacing w:after="0"/>
              <w:rPr>
                <w:sz w:val="24"/>
                <w:szCs w:val="24"/>
                <w:color w:val="auto"/>
              </w:rPr>
            </w:pPr>
          </w:p>
        </w:tc>
        <w:tc>
          <w:tcPr>
            <w:tcW w:w="1960" w:type="dxa"/>
            <w:vAlign w:val="bottom"/>
            <w:tcBorders>
              <w:top w:val="single" w:sz="8" w:color="auto"/>
            </w:tcBorders>
            <w:gridSpan w:val="3"/>
            <w:shd w:val="clear" w:color="auto" w:fill="C00000"/>
          </w:tcPr>
          <w:p>
            <w:pPr>
              <w:jc w:val="center"/>
              <w:spacing w:after="0"/>
              <w:rPr>
                <w:sz w:val="20"/>
                <w:szCs w:val="20"/>
                <w:color w:val="auto"/>
              </w:rPr>
            </w:pPr>
            <w:r>
              <w:rPr>
                <w:rFonts w:ascii="Arial" w:cs="Arial" w:eastAsia="Arial" w:hAnsi="Arial"/>
                <w:sz w:val="16"/>
                <w:szCs w:val="16"/>
                <w:b w:val="1"/>
                <w:bCs w:val="1"/>
                <w:color w:val="FFFFFF"/>
              </w:rPr>
              <w:t>Payout (as a % of target)</w:t>
            </w:r>
          </w:p>
        </w:tc>
        <w:tc>
          <w:tcPr>
            <w:tcW w:w="1120" w:type="dxa"/>
            <w:vAlign w:val="bottom"/>
            <w:tcBorders>
              <w:top w:val="single" w:sz="8" w:color="auto"/>
              <w:right w:val="single" w:sz="8" w:color="auto"/>
            </w:tcBorders>
            <w:shd w:val="clear" w:color="auto" w:fill="C0000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980" w:type="dxa"/>
            <w:vAlign w:val="bottom"/>
            <w:tcBorders>
              <w:left w:val="single" w:sz="8" w:color="auto"/>
              <w:bottom w:val="single" w:sz="8" w:color="C00000"/>
              <w:right w:val="single" w:sz="8" w:color="auto"/>
            </w:tcBorders>
            <w:vMerge w:val="restart"/>
            <w:shd w:val="clear" w:color="auto" w:fill="C00000"/>
          </w:tcPr>
          <w:p>
            <w:pPr>
              <w:ind w:left="140"/>
              <w:spacing w:after="0"/>
              <w:rPr>
                <w:sz w:val="20"/>
                <w:szCs w:val="20"/>
                <w:color w:val="auto"/>
              </w:rPr>
            </w:pPr>
            <w:r>
              <w:rPr>
                <w:rFonts w:ascii="Arial" w:cs="Arial" w:eastAsia="Arial" w:hAnsi="Arial"/>
                <w:sz w:val="16"/>
                <w:szCs w:val="16"/>
                <w:b w:val="1"/>
                <w:bCs w:val="1"/>
                <w:color w:val="FFFFFF"/>
              </w:rPr>
              <w:t>Metric</w:t>
            </w:r>
          </w:p>
        </w:tc>
        <w:tc>
          <w:tcPr>
            <w:tcW w:w="960" w:type="dxa"/>
            <w:vAlign w:val="bottom"/>
            <w:tcBorders>
              <w:bottom w:val="single" w:sz="8" w:color="C00000"/>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Weight</w:t>
            </w:r>
          </w:p>
        </w:tc>
        <w:tc>
          <w:tcPr>
            <w:tcW w:w="1240" w:type="dxa"/>
            <w:vAlign w:val="bottom"/>
            <w:tcBorders>
              <w:bottom w:val="single" w:sz="8" w:color="auto"/>
            </w:tcBorders>
            <w:shd w:val="clear" w:color="auto" w:fill="C00000"/>
          </w:tcPr>
          <w:p>
            <w:pPr>
              <w:spacing w:after="0"/>
              <w:rPr>
                <w:sz w:val="11"/>
                <w:szCs w:val="11"/>
                <w:color w:val="auto"/>
              </w:rPr>
            </w:pPr>
          </w:p>
        </w:tc>
        <w:tc>
          <w:tcPr>
            <w:tcW w:w="120" w:type="dxa"/>
            <w:vAlign w:val="bottom"/>
            <w:tcBorders>
              <w:bottom w:val="single" w:sz="8" w:color="auto"/>
              <w:right w:val="single" w:sz="8" w:color="C00000"/>
            </w:tcBorders>
            <w:shd w:val="clear" w:color="auto" w:fill="C00000"/>
          </w:tcPr>
          <w:p>
            <w:pPr>
              <w:spacing w:after="0"/>
              <w:rPr>
                <w:sz w:val="11"/>
                <w:szCs w:val="11"/>
                <w:color w:val="auto"/>
              </w:rPr>
            </w:pPr>
          </w:p>
        </w:tc>
        <w:tc>
          <w:tcPr>
            <w:tcW w:w="1400" w:type="dxa"/>
            <w:vAlign w:val="bottom"/>
            <w:tcBorders>
              <w:bottom w:val="single" w:sz="8" w:color="auto"/>
              <w:right w:val="single" w:sz="8" w:color="C00000"/>
            </w:tcBorders>
            <w:shd w:val="clear" w:color="auto" w:fill="C00000"/>
          </w:tcPr>
          <w:p>
            <w:pPr>
              <w:spacing w:after="0"/>
              <w:rPr>
                <w:sz w:val="11"/>
                <w:szCs w:val="11"/>
                <w:color w:val="auto"/>
              </w:rPr>
            </w:pPr>
          </w:p>
        </w:tc>
        <w:tc>
          <w:tcPr>
            <w:tcW w:w="100" w:type="dxa"/>
            <w:vAlign w:val="bottom"/>
            <w:tcBorders>
              <w:bottom w:val="single" w:sz="8" w:color="auto"/>
            </w:tcBorders>
            <w:shd w:val="clear" w:color="auto" w:fill="C00000"/>
          </w:tcPr>
          <w:p>
            <w:pPr>
              <w:spacing w:after="0"/>
              <w:rPr>
                <w:sz w:val="11"/>
                <w:szCs w:val="11"/>
                <w:color w:val="auto"/>
              </w:rPr>
            </w:pPr>
          </w:p>
        </w:tc>
        <w:tc>
          <w:tcPr>
            <w:tcW w:w="1280" w:type="dxa"/>
            <w:vAlign w:val="bottom"/>
            <w:tcBorders>
              <w:bottom w:val="single" w:sz="8" w:color="auto"/>
              <w:right w:val="single" w:sz="8" w:color="auto"/>
            </w:tcBorders>
            <w:shd w:val="clear" w:color="auto" w:fill="C00000"/>
          </w:tcPr>
          <w:p>
            <w:pPr>
              <w:spacing w:after="0"/>
              <w:rPr>
                <w:sz w:val="11"/>
                <w:szCs w:val="11"/>
                <w:color w:val="auto"/>
              </w:rPr>
            </w:pPr>
          </w:p>
        </w:tc>
        <w:tc>
          <w:tcPr>
            <w:tcW w:w="1100" w:type="dxa"/>
            <w:vAlign w:val="bottom"/>
            <w:tcBorders>
              <w:bottom w:val="single" w:sz="8" w:color="auto"/>
            </w:tcBorders>
            <w:shd w:val="clear" w:color="auto" w:fill="C00000"/>
          </w:tcPr>
          <w:p>
            <w:pPr>
              <w:spacing w:after="0"/>
              <w:rPr>
                <w:sz w:val="11"/>
                <w:szCs w:val="11"/>
                <w:color w:val="auto"/>
              </w:rPr>
            </w:pPr>
          </w:p>
        </w:tc>
        <w:tc>
          <w:tcPr>
            <w:tcW w:w="300" w:type="dxa"/>
            <w:vAlign w:val="bottom"/>
            <w:tcBorders>
              <w:bottom w:val="single" w:sz="8" w:color="auto"/>
              <w:right w:val="single" w:sz="8" w:color="C00000"/>
            </w:tcBorders>
            <w:shd w:val="clear" w:color="auto" w:fill="C00000"/>
          </w:tcPr>
          <w:p>
            <w:pPr>
              <w:spacing w:after="0"/>
              <w:rPr>
                <w:sz w:val="11"/>
                <w:szCs w:val="11"/>
                <w:color w:val="auto"/>
              </w:rPr>
            </w:pPr>
          </w:p>
        </w:tc>
        <w:tc>
          <w:tcPr>
            <w:tcW w:w="1380" w:type="dxa"/>
            <w:vAlign w:val="bottom"/>
            <w:tcBorders>
              <w:bottom w:val="single" w:sz="8" w:color="auto"/>
              <w:right w:val="single" w:sz="8" w:color="C00000"/>
            </w:tcBorders>
            <w:shd w:val="clear" w:color="auto" w:fill="C00000"/>
          </w:tcPr>
          <w:p>
            <w:pPr>
              <w:spacing w:after="0"/>
              <w:rPr>
                <w:sz w:val="11"/>
                <w:szCs w:val="11"/>
                <w:color w:val="auto"/>
              </w:rPr>
            </w:pPr>
          </w:p>
        </w:tc>
        <w:tc>
          <w:tcPr>
            <w:tcW w:w="280" w:type="dxa"/>
            <w:vAlign w:val="bottom"/>
            <w:tcBorders>
              <w:bottom w:val="single" w:sz="8" w:color="auto"/>
            </w:tcBorders>
            <w:shd w:val="clear" w:color="auto" w:fill="C00000"/>
          </w:tcPr>
          <w:p>
            <w:pPr>
              <w:spacing w:after="0"/>
              <w:rPr>
                <w:sz w:val="11"/>
                <w:szCs w:val="11"/>
                <w:color w:val="auto"/>
              </w:rPr>
            </w:pPr>
          </w:p>
        </w:tc>
        <w:tc>
          <w:tcPr>
            <w:tcW w:w="1120" w:type="dxa"/>
            <w:vAlign w:val="bottom"/>
            <w:tcBorders>
              <w:bottom w:val="single" w:sz="8" w:color="auto"/>
              <w:right w:val="single" w:sz="8" w:color="auto"/>
            </w:tcBorders>
            <w:shd w:val="clear" w:color="auto" w:fill="C00000"/>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vMerge w:val="continue"/>
            <w:shd w:val="clear" w:color="auto" w:fill="C00000"/>
          </w:tcPr>
          <w:p>
            <w:pPr>
              <w:spacing w:after="0"/>
              <w:rPr>
                <w:sz w:val="8"/>
                <w:szCs w:val="8"/>
                <w:color w:val="auto"/>
              </w:rPr>
            </w:pPr>
          </w:p>
        </w:tc>
        <w:tc>
          <w:tcPr>
            <w:tcW w:w="960" w:type="dxa"/>
            <w:vAlign w:val="bottom"/>
            <w:tcBorders>
              <w:right w:val="single" w:sz="8" w:color="auto"/>
            </w:tcBorders>
            <w:vMerge w:val="continue"/>
            <w:shd w:val="clear" w:color="auto" w:fill="C00000"/>
          </w:tcPr>
          <w:p>
            <w:pPr>
              <w:spacing w:after="0"/>
              <w:rPr>
                <w:sz w:val="8"/>
                <w:szCs w:val="8"/>
                <w:color w:val="auto"/>
              </w:rPr>
            </w:pPr>
          </w:p>
        </w:tc>
        <w:tc>
          <w:tcPr>
            <w:tcW w:w="1240" w:type="dxa"/>
            <w:vAlign w:val="bottom"/>
            <w:vMerge w:val="restart"/>
            <w:shd w:val="clear" w:color="auto" w:fill="C00000"/>
          </w:tcPr>
          <w:p>
            <w:pPr>
              <w:jc w:val="center"/>
              <w:ind w:left="19"/>
              <w:spacing w:after="0"/>
              <w:rPr>
                <w:sz w:val="20"/>
                <w:szCs w:val="20"/>
                <w:color w:val="auto"/>
              </w:rPr>
            </w:pPr>
            <w:r>
              <w:rPr>
                <w:rFonts w:ascii="Arial" w:cs="Arial" w:eastAsia="Arial" w:hAnsi="Arial"/>
                <w:sz w:val="16"/>
                <w:szCs w:val="16"/>
                <w:b w:val="1"/>
                <w:bCs w:val="1"/>
                <w:color w:val="FFFFFF"/>
              </w:rPr>
              <w:t>Threshold</w:t>
            </w:r>
          </w:p>
        </w:tc>
        <w:tc>
          <w:tcPr>
            <w:tcW w:w="120" w:type="dxa"/>
            <w:vAlign w:val="bottom"/>
            <w:tcBorders>
              <w:right w:val="single" w:sz="8" w:color="auto"/>
            </w:tcBorders>
            <w:shd w:val="clear" w:color="auto" w:fill="C00000"/>
          </w:tcPr>
          <w:p>
            <w:pPr>
              <w:spacing w:after="0"/>
              <w:rPr>
                <w:sz w:val="8"/>
                <w:szCs w:val="8"/>
                <w:color w:val="auto"/>
              </w:rPr>
            </w:pPr>
          </w:p>
        </w:tc>
        <w:tc>
          <w:tcPr>
            <w:tcW w:w="1400" w:type="dxa"/>
            <w:vAlign w:val="bottom"/>
            <w:tcBorders>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Target</w:t>
            </w:r>
          </w:p>
        </w:tc>
        <w:tc>
          <w:tcPr>
            <w:tcW w:w="100" w:type="dxa"/>
            <w:vAlign w:val="bottom"/>
            <w:shd w:val="clear" w:color="auto" w:fill="C00000"/>
          </w:tcPr>
          <w:p>
            <w:pPr>
              <w:spacing w:after="0"/>
              <w:rPr>
                <w:sz w:val="8"/>
                <w:szCs w:val="8"/>
                <w:color w:val="auto"/>
              </w:rPr>
            </w:pPr>
          </w:p>
        </w:tc>
        <w:tc>
          <w:tcPr>
            <w:tcW w:w="1280" w:type="dxa"/>
            <w:vAlign w:val="bottom"/>
            <w:tcBorders>
              <w:right w:val="single" w:sz="8" w:color="auto"/>
            </w:tcBorders>
            <w:vMerge w:val="restart"/>
            <w:shd w:val="clear" w:color="auto" w:fill="C00000"/>
          </w:tcPr>
          <w:p>
            <w:pPr>
              <w:jc w:val="center"/>
              <w:ind w:right="39"/>
              <w:spacing w:after="0"/>
              <w:rPr>
                <w:sz w:val="20"/>
                <w:szCs w:val="20"/>
                <w:color w:val="auto"/>
              </w:rPr>
            </w:pPr>
            <w:r>
              <w:rPr>
                <w:rFonts w:ascii="Arial" w:cs="Arial" w:eastAsia="Arial" w:hAnsi="Arial"/>
                <w:sz w:val="16"/>
                <w:szCs w:val="16"/>
                <w:b w:val="1"/>
                <w:bCs w:val="1"/>
                <w:color w:val="FFFFFF"/>
              </w:rPr>
              <w:t>Maximum</w:t>
            </w:r>
          </w:p>
        </w:tc>
        <w:tc>
          <w:tcPr>
            <w:tcW w:w="1100" w:type="dxa"/>
            <w:vAlign w:val="bottom"/>
            <w:vMerge w:val="restart"/>
            <w:shd w:val="clear" w:color="auto" w:fill="C00000"/>
          </w:tcPr>
          <w:p>
            <w:pPr>
              <w:jc w:val="center"/>
              <w:ind w:left="199"/>
              <w:spacing w:after="0"/>
              <w:rPr>
                <w:sz w:val="20"/>
                <w:szCs w:val="20"/>
                <w:color w:val="auto"/>
              </w:rPr>
            </w:pPr>
            <w:r>
              <w:rPr>
                <w:rFonts w:ascii="Arial" w:cs="Arial" w:eastAsia="Arial" w:hAnsi="Arial"/>
                <w:sz w:val="16"/>
                <w:szCs w:val="16"/>
                <w:b w:val="1"/>
                <w:bCs w:val="1"/>
                <w:color w:val="FFFFFF"/>
              </w:rPr>
              <w:t>Threshold</w:t>
            </w:r>
          </w:p>
        </w:tc>
        <w:tc>
          <w:tcPr>
            <w:tcW w:w="300" w:type="dxa"/>
            <w:vAlign w:val="bottom"/>
            <w:tcBorders>
              <w:right w:val="single" w:sz="8" w:color="auto"/>
            </w:tcBorders>
            <w:shd w:val="clear" w:color="auto" w:fill="C00000"/>
          </w:tcPr>
          <w:p>
            <w:pPr>
              <w:spacing w:after="0"/>
              <w:rPr>
                <w:sz w:val="8"/>
                <w:szCs w:val="8"/>
                <w:color w:val="auto"/>
              </w:rPr>
            </w:pPr>
          </w:p>
        </w:tc>
        <w:tc>
          <w:tcPr>
            <w:tcW w:w="1380" w:type="dxa"/>
            <w:vAlign w:val="bottom"/>
            <w:tcBorders>
              <w:right w:val="single" w:sz="8" w:color="auto"/>
            </w:tcBorders>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280" w:type="dxa"/>
            <w:vAlign w:val="bottom"/>
            <w:shd w:val="clear" w:color="auto" w:fill="C00000"/>
          </w:tcPr>
          <w:p>
            <w:pPr>
              <w:spacing w:after="0"/>
              <w:rPr>
                <w:sz w:val="8"/>
                <w:szCs w:val="8"/>
                <w:color w:val="auto"/>
              </w:rPr>
            </w:pPr>
          </w:p>
        </w:tc>
        <w:tc>
          <w:tcPr>
            <w:tcW w:w="1120" w:type="dxa"/>
            <w:vAlign w:val="bottom"/>
            <w:tcBorders>
              <w:right w:val="single" w:sz="8" w:color="auto"/>
            </w:tcBorders>
            <w:vMerge w:val="restart"/>
            <w:shd w:val="clear" w:color="auto" w:fill="C00000"/>
          </w:tcPr>
          <w:p>
            <w:pPr>
              <w:jc w:val="center"/>
              <w:ind w:right="219"/>
              <w:spacing w:after="0"/>
              <w:rPr>
                <w:sz w:val="20"/>
                <w:szCs w:val="20"/>
                <w:color w:val="auto"/>
              </w:rPr>
            </w:pPr>
            <w:r>
              <w:rPr>
                <w:rFonts w:ascii="Arial" w:cs="Arial" w:eastAsia="Arial" w:hAnsi="Arial"/>
                <w:sz w:val="16"/>
                <w:szCs w:val="16"/>
                <w:b w:val="1"/>
                <w:bCs w:val="1"/>
                <w:color w:val="FFFFFF"/>
              </w:rPr>
              <w:t>Maximum</w:t>
            </w:r>
          </w:p>
        </w:tc>
        <w:tc>
          <w:tcPr>
            <w:tcW w:w="0" w:type="dxa"/>
            <w:vAlign w:val="bottom"/>
          </w:tcPr>
          <w:p>
            <w:pPr>
              <w:spacing w:after="0"/>
              <w:rPr>
                <w:sz w:val="1"/>
                <w:szCs w:val="1"/>
                <w:color w:val="auto"/>
              </w:rPr>
            </w:pPr>
          </w:p>
        </w:tc>
      </w:tr>
      <w:tr>
        <w:trPr>
          <w:trHeight w:val="243"/>
        </w:trPr>
        <w:tc>
          <w:tcPr>
            <w:tcW w:w="1980" w:type="dxa"/>
            <w:vAlign w:val="bottom"/>
            <w:tcBorders>
              <w:left w:val="single" w:sz="8" w:color="auto"/>
              <w:right w:val="single" w:sz="8" w:color="auto"/>
            </w:tcBorders>
            <w:shd w:val="clear" w:color="auto" w:fill="C00000"/>
          </w:tcPr>
          <w:p>
            <w:pPr>
              <w:spacing w:after="0"/>
              <w:rPr>
                <w:sz w:val="21"/>
                <w:szCs w:val="21"/>
                <w:color w:val="auto"/>
              </w:rPr>
            </w:pPr>
          </w:p>
        </w:tc>
        <w:tc>
          <w:tcPr>
            <w:tcW w:w="960" w:type="dxa"/>
            <w:vAlign w:val="bottom"/>
            <w:tcBorders>
              <w:right w:val="single" w:sz="8" w:color="auto"/>
            </w:tcBorders>
            <w:shd w:val="clear" w:color="auto" w:fill="C00000"/>
          </w:tcPr>
          <w:p>
            <w:pPr>
              <w:spacing w:after="0"/>
              <w:rPr>
                <w:sz w:val="21"/>
                <w:szCs w:val="21"/>
                <w:color w:val="auto"/>
              </w:rPr>
            </w:pPr>
          </w:p>
        </w:tc>
        <w:tc>
          <w:tcPr>
            <w:tcW w:w="1240" w:type="dxa"/>
            <w:vAlign w:val="bottom"/>
            <w:vMerge w:val="continue"/>
            <w:shd w:val="clear" w:color="auto" w:fill="C00000"/>
          </w:tcPr>
          <w:p>
            <w:pPr>
              <w:spacing w:after="0"/>
              <w:rPr>
                <w:sz w:val="21"/>
                <w:szCs w:val="21"/>
                <w:color w:val="auto"/>
              </w:rPr>
            </w:pPr>
          </w:p>
        </w:tc>
        <w:tc>
          <w:tcPr>
            <w:tcW w:w="120" w:type="dxa"/>
            <w:vAlign w:val="bottom"/>
            <w:tcBorders>
              <w:right w:val="single" w:sz="8" w:color="auto"/>
            </w:tcBorders>
            <w:shd w:val="clear" w:color="auto" w:fill="C00000"/>
          </w:tcPr>
          <w:p>
            <w:pPr>
              <w:spacing w:after="0"/>
              <w:rPr>
                <w:sz w:val="21"/>
                <w:szCs w:val="21"/>
                <w:color w:val="auto"/>
              </w:rPr>
            </w:pPr>
          </w:p>
        </w:tc>
        <w:tc>
          <w:tcPr>
            <w:tcW w:w="1400" w:type="dxa"/>
            <w:vAlign w:val="bottom"/>
            <w:tcBorders>
              <w:right w:val="single" w:sz="8" w:color="auto"/>
            </w:tcBorders>
            <w:vMerge w:val="continue"/>
            <w:shd w:val="clear" w:color="auto" w:fill="C00000"/>
          </w:tcPr>
          <w:p>
            <w:pPr>
              <w:spacing w:after="0"/>
              <w:rPr>
                <w:sz w:val="21"/>
                <w:szCs w:val="21"/>
                <w:color w:val="auto"/>
              </w:rPr>
            </w:pPr>
          </w:p>
        </w:tc>
        <w:tc>
          <w:tcPr>
            <w:tcW w:w="100" w:type="dxa"/>
            <w:vAlign w:val="bottom"/>
            <w:shd w:val="clear" w:color="auto" w:fill="C00000"/>
          </w:tcPr>
          <w:p>
            <w:pPr>
              <w:spacing w:after="0"/>
              <w:rPr>
                <w:sz w:val="21"/>
                <w:szCs w:val="21"/>
                <w:color w:val="auto"/>
              </w:rPr>
            </w:pPr>
          </w:p>
        </w:tc>
        <w:tc>
          <w:tcPr>
            <w:tcW w:w="1280" w:type="dxa"/>
            <w:vAlign w:val="bottom"/>
            <w:tcBorders>
              <w:right w:val="single" w:sz="8" w:color="auto"/>
            </w:tcBorders>
            <w:vMerge w:val="continue"/>
            <w:shd w:val="clear" w:color="auto" w:fill="C00000"/>
          </w:tcPr>
          <w:p>
            <w:pPr>
              <w:spacing w:after="0"/>
              <w:rPr>
                <w:sz w:val="21"/>
                <w:szCs w:val="21"/>
                <w:color w:val="auto"/>
              </w:rPr>
            </w:pPr>
          </w:p>
        </w:tc>
        <w:tc>
          <w:tcPr>
            <w:tcW w:w="1100" w:type="dxa"/>
            <w:vAlign w:val="bottom"/>
            <w:vMerge w:val="continue"/>
            <w:shd w:val="clear" w:color="auto" w:fill="C00000"/>
          </w:tcPr>
          <w:p>
            <w:pPr>
              <w:spacing w:after="0"/>
              <w:rPr>
                <w:sz w:val="21"/>
                <w:szCs w:val="21"/>
                <w:color w:val="auto"/>
              </w:rPr>
            </w:pPr>
          </w:p>
        </w:tc>
        <w:tc>
          <w:tcPr>
            <w:tcW w:w="300" w:type="dxa"/>
            <w:vAlign w:val="bottom"/>
            <w:tcBorders>
              <w:right w:val="single" w:sz="8" w:color="auto"/>
            </w:tcBorders>
            <w:shd w:val="clear" w:color="auto" w:fill="C00000"/>
          </w:tcPr>
          <w:p>
            <w:pPr>
              <w:spacing w:after="0"/>
              <w:rPr>
                <w:sz w:val="21"/>
                <w:szCs w:val="21"/>
                <w:color w:val="auto"/>
              </w:rPr>
            </w:pPr>
          </w:p>
        </w:tc>
        <w:tc>
          <w:tcPr>
            <w:tcW w:w="1380" w:type="dxa"/>
            <w:vAlign w:val="bottom"/>
            <w:tcBorders>
              <w:right w:val="single" w:sz="8" w:color="auto"/>
            </w:tcBorders>
            <w:vMerge w:val="continue"/>
            <w:shd w:val="clear" w:color="auto" w:fill="C00000"/>
          </w:tcPr>
          <w:p>
            <w:pPr>
              <w:spacing w:after="0"/>
              <w:rPr>
                <w:sz w:val="21"/>
                <w:szCs w:val="21"/>
                <w:color w:val="auto"/>
              </w:rPr>
            </w:pPr>
          </w:p>
        </w:tc>
        <w:tc>
          <w:tcPr>
            <w:tcW w:w="280" w:type="dxa"/>
            <w:vAlign w:val="bottom"/>
            <w:shd w:val="clear" w:color="auto" w:fill="C00000"/>
          </w:tcPr>
          <w:p>
            <w:pPr>
              <w:spacing w:after="0"/>
              <w:rPr>
                <w:sz w:val="21"/>
                <w:szCs w:val="21"/>
                <w:color w:val="auto"/>
              </w:rPr>
            </w:pPr>
          </w:p>
        </w:tc>
        <w:tc>
          <w:tcPr>
            <w:tcW w:w="1120" w:type="dxa"/>
            <w:vAlign w:val="bottom"/>
            <w:tcBorders>
              <w:right w:val="single" w:sz="8" w:color="auto"/>
            </w:tcBorders>
            <w:vMerge w:val="continue"/>
            <w:shd w:val="clear" w:color="auto" w:fill="C00000"/>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980" w:type="dxa"/>
            <w:vAlign w:val="bottom"/>
            <w:tcBorders>
              <w:left w:val="single" w:sz="8" w:color="auto"/>
              <w:bottom w:val="single" w:sz="8" w:color="auto"/>
              <w:right w:val="single" w:sz="8" w:color="auto"/>
            </w:tcBorders>
            <w:shd w:val="clear" w:color="auto" w:fill="C00000"/>
          </w:tcPr>
          <w:p>
            <w:pPr>
              <w:spacing w:after="0"/>
              <w:rPr>
                <w:sz w:val="11"/>
                <w:szCs w:val="11"/>
                <w:color w:val="auto"/>
              </w:rPr>
            </w:pPr>
          </w:p>
        </w:tc>
        <w:tc>
          <w:tcPr>
            <w:tcW w:w="960" w:type="dxa"/>
            <w:vAlign w:val="bottom"/>
            <w:tcBorders>
              <w:bottom w:val="single" w:sz="8" w:color="auto"/>
              <w:right w:val="single" w:sz="8" w:color="auto"/>
            </w:tcBorders>
            <w:shd w:val="clear" w:color="auto" w:fill="C00000"/>
          </w:tcPr>
          <w:p>
            <w:pPr>
              <w:spacing w:after="0"/>
              <w:rPr>
                <w:sz w:val="11"/>
                <w:szCs w:val="11"/>
                <w:color w:val="auto"/>
              </w:rPr>
            </w:pPr>
          </w:p>
        </w:tc>
        <w:tc>
          <w:tcPr>
            <w:tcW w:w="1240" w:type="dxa"/>
            <w:vAlign w:val="bottom"/>
            <w:tcBorders>
              <w:bottom w:val="single" w:sz="8" w:color="auto"/>
            </w:tcBorders>
            <w:shd w:val="clear" w:color="auto" w:fill="C00000"/>
          </w:tcPr>
          <w:p>
            <w:pPr>
              <w:spacing w:after="0"/>
              <w:rPr>
                <w:sz w:val="11"/>
                <w:szCs w:val="11"/>
                <w:color w:val="auto"/>
              </w:rPr>
            </w:pPr>
          </w:p>
        </w:tc>
        <w:tc>
          <w:tcPr>
            <w:tcW w:w="120" w:type="dxa"/>
            <w:vAlign w:val="bottom"/>
            <w:tcBorders>
              <w:bottom w:val="single" w:sz="8" w:color="auto"/>
              <w:right w:val="single" w:sz="8" w:color="auto"/>
            </w:tcBorders>
            <w:shd w:val="clear" w:color="auto" w:fill="C00000"/>
          </w:tcPr>
          <w:p>
            <w:pPr>
              <w:spacing w:after="0"/>
              <w:rPr>
                <w:sz w:val="11"/>
                <w:szCs w:val="11"/>
                <w:color w:val="auto"/>
              </w:rPr>
            </w:pPr>
          </w:p>
        </w:tc>
        <w:tc>
          <w:tcPr>
            <w:tcW w:w="1400" w:type="dxa"/>
            <w:vAlign w:val="bottom"/>
            <w:tcBorders>
              <w:bottom w:val="single" w:sz="8" w:color="auto"/>
              <w:right w:val="single" w:sz="8" w:color="auto"/>
            </w:tcBorders>
            <w:shd w:val="clear" w:color="auto" w:fill="C00000"/>
          </w:tcPr>
          <w:p>
            <w:pPr>
              <w:spacing w:after="0"/>
              <w:rPr>
                <w:sz w:val="11"/>
                <w:szCs w:val="11"/>
                <w:color w:val="auto"/>
              </w:rPr>
            </w:pPr>
          </w:p>
        </w:tc>
        <w:tc>
          <w:tcPr>
            <w:tcW w:w="100" w:type="dxa"/>
            <w:vAlign w:val="bottom"/>
            <w:tcBorders>
              <w:bottom w:val="single" w:sz="8" w:color="auto"/>
            </w:tcBorders>
            <w:shd w:val="clear" w:color="auto" w:fill="C00000"/>
          </w:tcPr>
          <w:p>
            <w:pPr>
              <w:spacing w:after="0"/>
              <w:rPr>
                <w:sz w:val="11"/>
                <w:szCs w:val="11"/>
                <w:color w:val="auto"/>
              </w:rPr>
            </w:pPr>
          </w:p>
        </w:tc>
        <w:tc>
          <w:tcPr>
            <w:tcW w:w="1280" w:type="dxa"/>
            <w:vAlign w:val="bottom"/>
            <w:tcBorders>
              <w:bottom w:val="single" w:sz="8" w:color="auto"/>
              <w:right w:val="single" w:sz="8" w:color="auto"/>
            </w:tcBorders>
            <w:shd w:val="clear" w:color="auto" w:fill="C00000"/>
          </w:tcPr>
          <w:p>
            <w:pPr>
              <w:spacing w:after="0"/>
              <w:rPr>
                <w:sz w:val="11"/>
                <w:szCs w:val="11"/>
                <w:color w:val="auto"/>
              </w:rPr>
            </w:pPr>
          </w:p>
        </w:tc>
        <w:tc>
          <w:tcPr>
            <w:tcW w:w="1100" w:type="dxa"/>
            <w:vAlign w:val="bottom"/>
            <w:tcBorders>
              <w:bottom w:val="single" w:sz="8" w:color="auto"/>
            </w:tcBorders>
            <w:shd w:val="clear" w:color="auto" w:fill="C00000"/>
          </w:tcPr>
          <w:p>
            <w:pPr>
              <w:spacing w:after="0"/>
              <w:rPr>
                <w:sz w:val="11"/>
                <w:szCs w:val="11"/>
                <w:color w:val="auto"/>
              </w:rPr>
            </w:pPr>
          </w:p>
        </w:tc>
        <w:tc>
          <w:tcPr>
            <w:tcW w:w="300" w:type="dxa"/>
            <w:vAlign w:val="bottom"/>
            <w:tcBorders>
              <w:bottom w:val="single" w:sz="8" w:color="auto"/>
              <w:right w:val="single" w:sz="8" w:color="auto"/>
            </w:tcBorders>
            <w:shd w:val="clear" w:color="auto" w:fill="C00000"/>
          </w:tcPr>
          <w:p>
            <w:pPr>
              <w:spacing w:after="0"/>
              <w:rPr>
                <w:sz w:val="11"/>
                <w:szCs w:val="11"/>
                <w:color w:val="auto"/>
              </w:rPr>
            </w:pPr>
          </w:p>
        </w:tc>
        <w:tc>
          <w:tcPr>
            <w:tcW w:w="1380" w:type="dxa"/>
            <w:vAlign w:val="bottom"/>
            <w:tcBorders>
              <w:bottom w:val="single" w:sz="8" w:color="auto"/>
              <w:right w:val="single" w:sz="8" w:color="auto"/>
            </w:tcBorders>
            <w:shd w:val="clear" w:color="auto" w:fill="C00000"/>
          </w:tcPr>
          <w:p>
            <w:pPr>
              <w:spacing w:after="0"/>
              <w:rPr>
                <w:sz w:val="11"/>
                <w:szCs w:val="11"/>
                <w:color w:val="auto"/>
              </w:rPr>
            </w:pPr>
          </w:p>
        </w:tc>
        <w:tc>
          <w:tcPr>
            <w:tcW w:w="280" w:type="dxa"/>
            <w:vAlign w:val="bottom"/>
            <w:tcBorders>
              <w:bottom w:val="single" w:sz="8" w:color="auto"/>
            </w:tcBorders>
            <w:shd w:val="clear" w:color="auto" w:fill="C00000"/>
          </w:tcPr>
          <w:p>
            <w:pPr>
              <w:spacing w:after="0"/>
              <w:rPr>
                <w:sz w:val="11"/>
                <w:szCs w:val="11"/>
                <w:color w:val="auto"/>
              </w:rPr>
            </w:pPr>
          </w:p>
        </w:tc>
        <w:tc>
          <w:tcPr>
            <w:tcW w:w="1120" w:type="dxa"/>
            <w:vAlign w:val="bottom"/>
            <w:tcBorders>
              <w:bottom w:val="single" w:sz="8" w:color="auto"/>
              <w:right w:val="single" w:sz="8" w:color="auto"/>
            </w:tcBorders>
            <w:shd w:val="clear" w:color="auto" w:fill="C0000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35%</w:t>
            </w:r>
          </w:p>
        </w:tc>
        <w:tc>
          <w:tcPr>
            <w:tcW w:w="12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rPr>
              <w:t>10.5%</w:t>
            </w:r>
          </w:p>
        </w:tc>
        <w:tc>
          <w:tcPr>
            <w:tcW w:w="11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16"/>
                <w:szCs w:val="16"/>
                <w:color w:val="auto"/>
              </w:rPr>
              <w:t xml:space="preserve">ROIC </w:t>
            </w:r>
            <w:r>
              <w:rPr>
                <w:rFonts w:ascii="Arial" w:cs="Arial" w:eastAsia="Arial" w:hAnsi="Arial"/>
                <w:sz w:val="21"/>
                <w:szCs w:val="21"/>
                <w:color w:val="auto"/>
                <w:vertAlign w:val="superscript"/>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35%</w:t>
            </w:r>
          </w:p>
        </w:tc>
        <w:tc>
          <w:tcPr>
            <w:tcW w:w="12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color w:val="auto"/>
              </w:rPr>
              <w:t>9.5%</w:t>
            </w:r>
          </w:p>
        </w:tc>
        <w:tc>
          <w:tcPr>
            <w:tcW w:w="11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TSR vs. S&amp;P 500</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15%</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96"/>
              </w:rPr>
              <w:t>25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50</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00" w:type="dxa"/>
            <w:vAlign w:val="bottom"/>
          </w:tcPr>
          <w:p>
            <w:pPr>
              <w:spacing w:after="0"/>
              <w:rPr>
                <w:sz w:val="16"/>
                <w:szCs w:val="16"/>
                <w:color w:val="auto"/>
              </w:rPr>
            </w:pPr>
          </w:p>
        </w:tc>
        <w:tc>
          <w:tcPr>
            <w:tcW w:w="1280" w:type="dxa"/>
            <w:vAlign w:val="bottom"/>
            <w:tcBorders>
              <w:right w:val="single" w:sz="8" w:color="auto"/>
            </w:tcBorders>
            <w:vMerge w:val="restart"/>
          </w:tcPr>
          <w:p>
            <w:pPr>
              <w:jc w:val="center"/>
              <w:ind w:right="39"/>
              <w:spacing w:after="0"/>
              <w:rPr>
                <w:sz w:val="20"/>
                <w:szCs w:val="20"/>
                <w:color w:val="auto"/>
              </w:rPr>
            </w:pPr>
            <w:r>
              <w:rPr>
                <w:rFonts w:ascii="Arial" w:cs="Arial" w:eastAsia="Arial" w:hAnsi="Arial"/>
                <w:sz w:val="16"/>
                <w:szCs w:val="16"/>
                <w:color w:val="auto"/>
                <w:w w:val="96"/>
              </w:rPr>
              <w:t>75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100" w:type="dxa"/>
            <w:vAlign w:val="bottom"/>
            <w:vMerge w:val="restart"/>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Pr>
          <w:p>
            <w:pPr>
              <w:spacing w:after="0"/>
              <w:rPr>
                <w:sz w:val="16"/>
                <w:szCs w:val="16"/>
                <w:color w:val="auto"/>
              </w:rPr>
            </w:pPr>
          </w:p>
        </w:tc>
        <w:tc>
          <w:tcPr>
            <w:tcW w:w="1120" w:type="dxa"/>
            <w:vAlign w:val="bottom"/>
            <w:tcBorders>
              <w:right w:val="single" w:sz="8" w:color="auto"/>
            </w:tcBorders>
            <w:vMerge w:val="restart"/>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color w:val="auto"/>
              </w:rPr>
              <w:t xml:space="preserve">companies </w:t>
            </w:r>
            <w:r>
              <w:rPr>
                <w:rFonts w:ascii="Arial" w:cs="Arial" w:eastAsia="Arial" w:hAnsi="Arial"/>
                <w:sz w:val="21"/>
                <w:szCs w:val="21"/>
                <w:color w:val="auto"/>
                <w:vertAlign w:val="superscript"/>
              </w:rPr>
              <w:t>(2)</w:t>
            </w:r>
          </w:p>
        </w:tc>
        <w:tc>
          <w:tcPr>
            <w:tcW w:w="960" w:type="dxa"/>
            <w:vAlign w:val="bottom"/>
            <w:tcBorders>
              <w:right w:val="single" w:sz="8" w:color="auto"/>
            </w:tcBorders>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98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Arial" w:cs="Arial" w:eastAsia="Arial" w:hAnsi="Arial"/>
                <w:sz w:val="16"/>
                <w:szCs w:val="16"/>
                <w:color w:val="auto"/>
              </w:rPr>
              <w:t xml:space="preserve">TSR vs. A&amp;D peers </w:t>
            </w:r>
            <w:r>
              <w:rPr>
                <w:rFonts w:ascii="Arial" w:cs="Arial" w:eastAsia="Arial" w:hAnsi="Arial"/>
                <w:sz w:val="21"/>
                <w:szCs w:val="21"/>
                <w:color w:val="auto"/>
                <w:vertAlign w:val="superscript"/>
              </w:rPr>
              <w:t>(2)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15%</w:t>
            </w:r>
          </w:p>
        </w:tc>
        <w:tc>
          <w:tcPr>
            <w:tcW w:w="12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16"/>
                <w:szCs w:val="16"/>
                <w:color w:val="auto"/>
                <w:w w:val="96"/>
              </w:rPr>
              <w:t>25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16"/>
                <w:szCs w:val="16"/>
                <w:color w:val="auto"/>
                <w:w w:val="96"/>
              </w:rPr>
              <w:t>50</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ind w:right="39"/>
              <w:spacing w:after="0" w:line="237" w:lineRule="exact"/>
              <w:rPr>
                <w:sz w:val="20"/>
                <w:szCs w:val="20"/>
                <w:color w:val="auto"/>
              </w:rPr>
            </w:pPr>
            <w:r>
              <w:rPr>
                <w:rFonts w:ascii="Arial" w:cs="Arial" w:eastAsia="Arial" w:hAnsi="Arial"/>
                <w:sz w:val="16"/>
                <w:szCs w:val="16"/>
                <w:color w:val="auto"/>
                <w:w w:val="96"/>
              </w:rPr>
              <w:t>75</w:t>
            </w:r>
            <w:r>
              <w:rPr>
                <w:rFonts w:ascii="Arial" w:cs="Arial" w:eastAsia="Arial" w:hAnsi="Arial"/>
                <w:sz w:val="21"/>
                <w:szCs w:val="21"/>
                <w:color w:val="auto"/>
                <w:w w:val="96"/>
                <w:vertAlign w:val="superscript"/>
              </w:rPr>
              <w:t>th</w:t>
            </w:r>
            <w:r>
              <w:rPr>
                <w:rFonts w:ascii="Arial" w:cs="Arial" w:eastAsia="Arial" w:hAnsi="Arial"/>
                <w:sz w:val="16"/>
                <w:szCs w:val="16"/>
                <w:color w:val="auto"/>
                <w:w w:val="96"/>
              </w:rPr>
              <w:t xml:space="preserve"> percentile</w:t>
            </w:r>
          </w:p>
        </w:tc>
        <w:tc>
          <w:tcPr>
            <w:tcW w:w="11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100%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2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Measurement period: January 1, 2025 through December 31, 2027</w:t>
      </w:r>
    </w:p>
    <w:p>
      <w:pPr>
        <w:spacing w:after="0" w:line="39" w:lineRule="exact"/>
        <w:rPr>
          <w:rFonts w:ascii="Arial" w:cs="Arial" w:eastAsia="Arial" w:hAnsi="Arial"/>
          <w:sz w:val="13"/>
          <w:szCs w:val="13"/>
          <w:i w:val="1"/>
          <w:iCs w:val="1"/>
          <w:color w:val="auto"/>
        </w:rPr>
      </w:pPr>
    </w:p>
    <w:p>
      <w:pPr>
        <w:ind w:left="180" w:right="140" w:hanging="172"/>
        <w:spacing w:after="0"/>
        <w:tabs>
          <w:tab w:leader="none" w:pos="179"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Measurement period: January 1, 2025 through December 31, 2027, calculated using the November/December average adjusted stock price prior to and at the end of the performance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80"/>
        <w:spacing w:after="0"/>
        <w:rPr>
          <w:sz w:val="20"/>
          <w:szCs w:val="20"/>
          <w:color w:val="auto"/>
        </w:rPr>
      </w:pPr>
      <w:r>
        <w:rPr>
          <w:rFonts w:ascii="Arial" w:cs="Arial" w:eastAsia="Arial" w:hAnsi="Arial"/>
          <w:sz w:val="14"/>
          <w:szCs w:val="14"/>
          <w:color w:val="221E1F"/>
        </w:rPr>
        <w:t>12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221E1F"/>
        </w:rPr>
        <w:t>02/2025</w:t>
      </w:r>
    </w:p>
    <w:p>
      <w:pPr>
        <w:sectPr>
          <w:pgSz w:w="11900" w:h="16838" w:orient="portrait"/>
          <w:cols w:equalWidth="0" w:num="1">
            <w:col w:w="11260"/>
          </w:cols>
          <w:pgMar w:left="320" w:top="1407"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10.3</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RTX Corporation</w:t>
      </w:r>
    </w:p>
    <w:p>
      <w:pPr>
        <w:jc w:val="center"/>
        <w:spacing w:after="0"/>
        <w:rPr>
          <w:sz w:val="20"/>
          <w:szCs w:val="20"/>
          <w:color w:val="auto"/>
        </w:rPr>
      </w:pPr>
      <w:r>
        <w:rPr>
          <w:rFonts w:ascii="Arial" w:cs="Arial" w:eastAsia="Arial" w:hAnsi="Arial"/>
          <w:sz w:val="22"/>
          <w:szCs w:val="22"/>
          <w:b w:val="1"/>
          <w:bCs w:val="1"/>
          <w:color w:val="221E1F"/>
        </w:rPr>
        <w:t>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Stock Appreciation Right Award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Schedule of Terms describes the material features of the Participant’s Stock Appreciation Right Award (the “SAR Award” or the “Award”) granted under the RTX Corporation Long-Term Incentive Plan, as amended and restated effective May 2, 2024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ectPr>
          <w:pgSz w:w="11900" w:h="16838" w:orient="portrait"/>
          <w:cols w:equalWidth="0" w:num="1">
            <w:col w:w="11240"/>
          </w:cols>
          <w:pgMar w:left="320" w:top="141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A Stock Appreciation Right (a “SAR”) represents the right to receive the appreciation in one share of Common Stock of RTX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04"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The number of SARs granted under the SAR Award and the SAR grant price are set forth in the Award Agreement. An LTIP Award recipient (a “Participant”) must affirmatively acknowledge and accept the terms and conditions of the SAR Award within 150 days following the Grant Date. A failure to acknowledge and accept the SAR Award subject to the LTIP and this Schedule of Terms, within such 150-day period may result in forfeiture of the SAR Award, effective as of the 150th day following the Grant Date.</w:t>
      </w:r>
    </w:p>
    <w:p>
      <w:pPr>
        <w:spacing w:after="0" w:line="173"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 xml:space="preserve">Participants must acknowledge and accept the terms and conditions of this SAR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Participants based in certain countries may be required to acknowledge and accept the terms and conditions of the SAR Award by signing and returning the designated hard copy portion of the Award Agreement to the Stock Plan Administrator. These countries currently include Russia, Turkey, Hungary, and Slovenia.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18"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221E1F"/>
        </w:rPr>
        <w:t>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12"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color w:val="221E1F"/>
        </w:rPr>
        <w:t>SARs may be exercised on or after the vesting date until the earlier of the:</w:t>
      </w:r>
    </w:p>
    <w:p>
      <w:pPr>
        <w:spacing w:after="0" w:line="202"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SARs and all associated rights lapse; or</w:t>
      </w:r>
    </w:p>
    <w:p>
      <w:pPr>
        <w:spacing w:after="0" w:line="215" w:lineRule="exact"/>
        <w:rPr>
          <w:rFonts w:ascii="Arial" w:cs="Arial" w:eastAsia="Arial" w:hAnsi="Arial"/>
          <w:sz w:val="20"/>
          <w:szCs w:val="20"/>
          <w:color w:val="221E1F"/>
        </w:rPr>
      </w:pPr>
    </w:p>
    <w:p>
      <w:pPr>
        <w:ind w:left="280" w:hanging="272"/>
        <w:spacing w:after="0"/>
        <w:tabs>
          <w:tab w:leader="none" w:pos="280" w:val="left"/>
        </w:tabs>
        <w:numPr>
          <w:ilvl w:val="0"/>
          <w:numId w:val="25"/>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pacing w:after="0" w:line="202" w:lineRule="exact"/>
        <w:rPr>
          <w:sz w:val="20"/>
          <w:szCs w:val="20"/>
          <w:color w:val="auto"/>
        </w:rPr>
      </w:pPr>
    </w:p>
    <w:p>
      <w:pPr>
        <w:ind w:right="920"/>
        <w:spacing w:after="0" w:line="271" w:lineRule="auto"/>
        <w:rPr>
          <w:sz w:val="20"/>
          <w:szCs w:val="20"/>
          <w:color w:val="auto"/>
        </w:rPr>
      </w:pPr>
      <w:r>
        <w:rPr>
          <w:rFonts w:ascii="Arial" w:cs="Arial" w:eastAsia="Arial" w:hAnsi="Arial"/>
          <w:sz w:val="20"/>
          <w:szCs w:val="20"/>
          <w:color w:val="auto"/>
        </w:rPr>
        <w:t>SARs may also be forfeited, and value realized from exercised SARs may be recouped by the Company under certain circumstances (see “Forfeiture of Award and Repayment of Realized Gains”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8"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221E1F"/>
        </w:rPr>
        <w:t>The holder of a SAR has no voting, dividend, or other rights accorded to owners of Common Stock, unless and until SARs are exercised and settled in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18"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221E1F"/>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spacing w:after="0" w:line="187"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221E1F"/>
        </w:rPr>
        <w:t>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Company to the Participant with respect to expiration is provided as a courtesy only.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8"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221E1F"/>
        </w:rPr>
        <w:t>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w:t>
      </w:r>
    </w:p>
    <w:p>
      <w:pPr>
        <w:spacing w:after="0" w:line="185"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67" w:lineRule="exact"/>
        <w:rPr>
          <w:sz w:val="20"/>
          <w:szCs w:val="20"/>
          <w:color w:val="auto"/>
        </w:rPr>
      </w:pPr>
    </w:p>
    <w:p>
      <w:pPr>
        <w:ind w:right="360"/>
        <w:spacing w:after="0" w:line="249"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SARs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14" w:right="339" w:bottom="1440" w:gutter="0" w:footer="0" w:header="0"/>
        </w:sectPr>
      </w:pPr>
    </w:p>
    <w:bookmarkStart w:id="76" w:name="page77"/>
    <w:bookmarkEnd w:id="76"/>
    <w:p>
      <w:pPr>
        <w:spacing w:after="0" w:line="217"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01" w:lineRule="exact"/>
        <w:rPr>
          <w:rFonts w:ascii="Times New Roman" w:cs="Times New Roman" w:eastAsia="Times New Roman" w:hAnsi="Times New Roman"/>
          <w:sz w:val="20"/>
          <w:szCs w:val="20"/>
          <w:color w:val="221E1F"/>
        </w:rPr>
      </w:pPr>
    </w:p>
    <w:p>
      <w:pPr>
        <w:ind w:left="700" w:hanging="368"/>
        <w:spacing w:after="0"/>
        <w:tabs>
          <w:tab w:leader="none" w:pos="700" w:val="left"/>
        </w:tabs>
        <w:numPr>
          <w:ilvl w:val="0"/>
          <w:numId w:val="26"/>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15" w:lineRule="exact"/>
        <w:rPr>
          <w:sz w:val="20"/>
          <w:szCs w:val="20"/>
          <w:color w:val="auto"/>
        </w:rPr>
      </w:pPr>
    </w:p>
    <w:p>
      <w:pPr>
        <w:ind w:left="1300" w:hanging="320"/>
        <w:spacing w:after="0"/>
        <w:tabs>
          <w:tab w:leader="none" w:pos="1300" w:val="left"/>
        </w:tabs>
        <w:numPr>
          <w:ilvl w:val="0"/>
          <w:numId w:val="27"/>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97" w:lineRule="exact"/>
        <w:rPr>
          <w:rFonts w:ascii="Courier New" w:cs="Courier New" w:eastAsia="Courier New" w:hAnsi="Courier New"/>
          <w:sz w:val="20"/>
          <w:szCs w:val="20"/>
          <w:color w:val="221E1F"/>
        </w:rPr>
      </w:pPr>
    </w:p>
    <w:p>
      <w:pPr>
        <w:ind w:left="1300" w:right="180" w:hanging="320"/>
        <w:spacing w:after="0" w:line="267" w:lineRule="auto"/>
        <w:tabs>
          <w:tab w:leader="none" w:pos="1300" w:val="left"/>
        </w:tabs>
        <w:numPr>
          <w:ilvl w:val="0"/>
          <w:numId w:val="27"/>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vested SARs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3334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333438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3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221E1F"/>
                <w:w w:val="98"/>
              </w:rPr>
              <w:t>Company Consents to Early</w:t>
            </w:r>
          </w:p>
        </w:tc>
        <w:tc>
          <w:tcPr>
            <w:tcW w:w="5300" w:type="dxa"/>
            <w:vAlign w:val="bottom"/>
            <w:tcBorders>
              <w:top w:val="single" w:sz="8" w:color="auto"/>
            </w:tcBorders>
            <w:vMerge w:val="restart"/>
          </w:tcPr>
          <w:p>
            <w:pPr>
              <w:ind w:left="190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38"/>
        </w:trPr>
        <w:tc>
          <w:tcPr>
            <w:tcW w:w="306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w:t>
            </w:r>
          </w:p>
        </w:tc>
        <w:tc>
          <w:tcPr>
            <w:tcW w:w="5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tcPr>
          <w:p>
            <w:pPr>
              <w:spacing w:after="0"/>
              <w:rPr>
                <w:sz w:val="11"/>
                <w:szCs w:val="11"/>
                <w:color w:val="auto"/>
              </w:rPr>
            </w:pPr>
          </w:p>
        </w:tc>
        <w:tc>
          <w:tcPr>
            <w:tcW w:w="2900" w:type="dxa"/>
            <w:vAlign w:val="bottom"/>
            <w:tcBorders>
              <w:right w:val="single" w:sz="8" w:color="auto"/>
            </w:tcBorders>
            <w:vMerge w:val="continue"/>
          </w:tcPr>
          <w:p>
            <w:pPr>
              <w:spacing w:after="0"/>
              <w:rPr>
                <w:sz w:val="11"/>
                <w:szCs w:val="11"/>
                <w:color w:val="auto"/>
              </w:rPr>
            </w:pPr>
          </w:p>
        </w:tc>
        <w:tc>
          <w:tcPr>
            <w:tcW w:w="5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5"/>
              </w:rPr>
              <w:t>N/A</w:t>
            </w:r>
          </w:p>
        </w:tc>
        <w:tc>
          <w:tcPr>
            <w:tcW w:w="5300" w:type="dxa"/>
            <w:vAlign w:val="bottom"/>
          </w:tcPr>
          <w:p>
            <w:pPr>
              <w:ind w:left="6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31"/>
        </w:trPr>
        <w:tc>
          <w:tcPr>
            <w:tcW w:w="3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2"/>
              </w:rPr>
              <w:t>Yes</w:t>
            </w:r>
          </w:p>
        </w:tc>
        <w:tc>
          <w:tcPr>
            <w:tcW w:w="5300" w:type="dxa"/>
            <w:vAlign w:val="bottom"/>
          </w:tcPr>
          <w:p>
            <w:pPr>
              <w:ind w:left="6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16"/>
        </w:trPr>
        <w:tc>
          <w:tcPr>
            <w:tcW w:w="3060" w:type="dxa"/>
            <w:vAlign w:val="bottom"/>
            <w:tcBorders>
              <w:right w:val="single" w:sz="8" w:color="auto"/>
            </w:tcBorders>
            <w:vMerge w:val="continue"/>
          </w:tcPr>
          <w:p>
            <w:pPr>
              <w:spacing w:after="0"/>
              <w:rPr>
                <w:sz w:val="18"/>
                <w:szCs w:val="18"/>
                <w:color w:val="auto"/>
              </w:rPr>
            </w:pPr>
          </w:p>
        </w:tc>
        <w:tc>
          <w:tcPr>
            <w:tcW w:w="2900" w:type="dxa"/>
            <w:vAlign w:val="bottom"/>
            <w:tcBorders>
              <w:right w:val="single" w:sz="8" w:color="auto"/>
            </w:tcBorders>
            <w:vMerge w:val="continue"/>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55 + 10 years of continuous</w:t>
            </w:r>
          </w:p>
        </w:tc>
        <w:tc>
          <w:tcPr>
            <w:tcW w:w="2900" w:type="dxa"/>
            <w:vAlign w:val="bottom"/>
            <w:tcBorders>
              <w:bottom w:val="single" w:sz="8" w:color="auto"/>
              <w:right w:val="single" w:sz="8" w:color="auto"/>
            </w:tcBorders>
          </w:tcPr>
          <w:p>
            <w:pPr>
              <w:spacing w:after="0"/>
              <w:rPr>
                <w:sz w:val="14"/>
                <w:szCs w:val="14"/>
                <w:color w:val="auto"/>
              </w:rPr>
            </w:pPr>
          </w:p>
        </w:tc>
        <w:tc>
          <w:tcPr>
            <w:tcW w:w="5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060" w:type="dxa"/>
            <w:vAlign w:val="bottom"/>
            <w:tcBorders>
              <w:right w:val="single" w:sz="8" w:color="auto"/>
            </w:tcBorders>
            <w:vMerge w:val="continue"/>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5300" w:type="dxa"/>
            <w:vAlign w:val="bottom"/>
            <w:vMerge w:val="restart"/>
          </w:tcPr>
          <w:p>
            <w:pPr>
              <w:ind w:left="60"/>
              <w:spacing w:after="0"/>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203"/>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service as of the Termination</w:t>
            </w:r>
          </w:p>
        </w:tc>
        <w:tc>
          <w:tcPr>
            <w:tcW w:w="2900" w:type="dxa"/>
            <w:vAlign w:val="bottom"/>
            <w:tcBorders>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060" w:type="dxa"/>
            <w:vAlign w:val="bottom"/>
            <w:tcBorders>
              <w:right w:val="single" w:sz="8" w:color="auto"/>
            </w:tcBorders>
            <w:vMerge w:val="continue"/>
          </w:tcPr>
          <w:p>
            <w:pPr>
              <w:spacing w:after="0"/>
              <w:rPr>
                <w:sz w:val="5"/>
                <w:szCs w:val="5"/>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3"/>
              </w:rPr>
              <w:t>No</w:t>
            </w:r>
          </w:p>
        </w:tc>
        <w:tc>
          <w:tcPr>
            <w:tcW w:w="5300" w:type="dxa"/>
            <w:vAlign w:val="bottom"/>
            <w:vMerge w:val="restart"/>
          </w:tcPr>
          <w:p>
            <w:pPr>
              <w:ind w:left="6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16"/>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Date</w:t>
            </w:r>
          </w:p>
        </w:tc>
        <w:tc>
          <w:tcPr>
            <w:tcW w:w="2900" w:type="dxa"/>
            <w:vAlign w:val="bottom"/>
            <w:tcBorders>
              <w:right w:val="single" w:sz="8" w:color="auto"/>
            </w:tcBorders>
            <w:vMerge w:val="continue"/>
          </w:tcPr>
          <w:p>
            <w:pPr>
              <w:spacing w:after="0"/>
              <w:rPr>
                <w:sz w:val="18"/>
                <w:szCs w:val="18"/>
                <w:color w:val="auto"/>
              </w:rPr>
            </w:pPr>
          </w:p>
        </w:tc>
        <w:tc>
          <w:tcPr>
            <w:tcW w:w="5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060" w:type="dxa"/>
            <w:vAlign w:val="bottom"/>
            <w:tcBorders>
              <w:right w:val="single" w:sz="8" w:color="auto"/>
            </w:tcBorders>
            <w:vMerge w:val="continue"/>
          </w:tcPr>
          <w:p>
            <w:pPr>
              <w:spacing w:after="0"/>
              <w:rPr>
                <w:sz w:val="5"/>
                <w:szCs w:val="5"/>
                <w:color w:val="auto"/>
              </w:rPr>
            </w:pPr>
          </w:p>
        </w:tc>
        <w:tc>
          <w:tcPr>
            <w:tcW w:w="2900" w:type="dxa"/>
            <w:vAlign w:val="bottom"/>
            <w:tcBorders>
              <w:right w:val="single" w:sz="8" w:color="auto"/>
            </w:tcBorders>
          </w:tcPr>
          <w:p>
            <w:pPr>
              <w:spacing w:after="0"/>
              <w:rPr>
                <w:sz w:val="5"/>
                <w:szCs w:val="5"/>
                <w:color w:val="auto"/>
              </w:rPr>
            </w:pPr>
          </w:p>
        </w:tc>
        <w:tc>
          <w:tcPr>
            <w:tcW w:w="5300" w:type="dxa"/>
            <w:vAlign w:val="bottom"/>
            <w:vMerge w:val="restart"/>
          </w:tcPr>
          <w:p>
            <w:pPr>
              <w:ind w:left="6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94"/>
        </w:trPr>
        <w:tc>
          <w:tcPr>
            <w:tcW w:w="3060" w:type="dxa"/>
            <w:vAlign w:val="bottom"/>
            <w:tcBorders>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06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c>
          <w:tcPr>
            <w:tcW w:w="5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060" w:type="dxa"/>
            <w:vAlign w:val="bottom"/>
            <w:tcBorders>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5300" w:type="dxa"/>
            <w:vAlign w:val="bottom"/>
          </w:tcPr>
          <w:p>
            <w:pPr>
              <w:ind w:left="40"/>
              <w:spacing w:after="0"/>
              <w:rPr>
                <w:sz w:val="20"/>
                <w:szCs w:val="20"/>
                <w:color w:val="auto"/>
              </w:rPr>
            </w:pPr>
            <w:r>
              <w:rPr>
                <w:rFonts w:ascii="Arial" w:cs="Arial" w:eastAsia="Arial" w:hAnsi="Arial"/>
                <w:sz w:val="20"/>
                <w:szCs w:val="20"/>
                <w:color w:val="221E1F"/>
              </w:rPr>
              <w:t>SARs may be exercised for five (5) years following the</w:t>
            </w:r>
          </w:p>
        </w:tc>
        <w:tc>
          <w:tcPr>
            <w:tcW w:w="0" w:type="dxa"/>
            <w:vAlign w:val="bottom"/>
          </w:tcPr>
          <w:p>
            <w:pPr>
              <w:spacing w:after="0"/>
              <w:rPr>
                <w:sz w:val="1"/>
                <w:szCs w:val="1"/>
                <w:color w:val="auto"/>
              </w:rPr>
            </w:pPr>
          </w:p>
        </w:tc>
      </w:tr>
      <w:tr>
        <w:trPr>
          <w:trHeight w:val="287"/>
        </w:trPr>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2"/>
              </w:rPr>
              <w:t>Yes</w:t>
            </w:r>
          </w:p>
        </w:tc>
        <w:tc>
          <w:tcPr>
            <w:tcW w:w="5300" w:type="dxa"/>
            <w:vAlign w:val="bottom"/>
          </w:tcPr>
          <w:p>
            <w:pPr>
              <w:ind w:left="4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61"/>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50, but prior to age 55 + years of</w:t>
            </w:r>
          </w:p>
        </w:tc>
        <w:tc>
          <w:tcPr>
            <w:tcW w:w="2900" w:type="dxa"/>
            <w:vAlign w:val="bottom"/>
            <w:tcBorders>
              <w:right w:val="single" w:sz="8" w:color="auto"/>
            </w:tcBorders>
          </w:tcPr>
          <w:p>
            <w:pPr>
              <w:spacing w:after="0"/>
              <w:rPr>
                <w:sz w:val="22"/>
                <w:szCs w:val="22"/>
                <w:color w:val="auto"/>
              </w:rPr>
            </w:pPr>
          </w:p>
        </w:tc>
        <w:tc>
          <w:tcPr>
            <w:tcW w:w="5300" w:type="dxa"/>
            <w:vAlign w:val="bottom"/>
          </w:tcPr>
          <w:p>
            <w:pPr>
              <w:ind w:left="4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73"/>
        </w:trPr>
        <w:tc>
          <w:tcPr>
            <w:tcW w:w="3060" w:type="dxa"/>
            <w:vAlign w:val="bottom"/>
            <w:tcBorders>
              <w:right w:val="single" w:sz="8" w:color="auto"/>
            </w:tcBorders>
            <w:vMerge w:val="continue"/>
          </w:tcPr>
          <w:p>
            <w:pPr>
              <w:spacing w:after="0"/>
              <w:rPr>
                <w:sz w:val="6"/>
                <w:szCs w:val="6"/>
                <w:color w:val="auto"/>
              </w:rPr>
            </w:pPr>
          </w:p>
        </w:tc>
        <w:tc>
          <w:tcPr>
            <w:tcW w:w="2900" w:type="dxa"/>
            <w:vAlign w:val="bottom"/>
            <w:tcBorders>
              <w:right w:val="single" w:sz="8" w:color="auto"/>
            </w:tcBorders>
          </w:tcPr>
          <w:p>
            <w:pPr>
              <w:spacing w:after="0"/>
              <w:rPr>
                <w:sz w:val="6"/>
                <w:szCs w:val="6"/>
                <w:color w:val="auto"/>
              </w:rPr>
            </w:pPr>
          </w:p>
        </w:tc>
        <w:tc>
          <w:tcPr>
            <w:tcW w:w="5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service = 65+ as of the</w:t>
            </w:r>
          </w:p>
        </w:tc>
        <w:tc>
          <w:tcPr>
            <w:tcW w:w="2900" w:type="dxa"/>
            <w:vAlign w:val="bottom"/>
            <w:tcBorders>
              <w:bottom w:val="single" w:sz="8" w:color="auto"/>
              <w:right w:val="single" w:sz="8" w:color="auto"/>
            </w:tcBorders>
          </w:tcPr>
          <w:p>
            <w:pPr>
              <w:spacing w:after="0"/>
              <w:rPr>
                <w:sz w:val="3"/>
                <w:szCs w:val="3"/>
                <w:color w:val="auto"/>
              </w:rPr>
            </w:pPr>
          </w:p>
        </w:tc>
        <w:tc>
          <w:tcPr>
            <w:tcW w:w="5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060" w:type="dxa"/>
            <w:vAlign w:val="bottom"/>
            <w:tcBorders>
              <w:right w:val="single" w:sz="8" w:color="auto"/>
            </w:tcBorders>
            <w:vMerge w:val="continue"/>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5300" w:type="dxa"/>
            <w:vAlign w:val="bottom"/>
            <w:vMerge w:val="restart"/>
          </w:tcPr>
          <w:p>
            <w:pPr>
              <w:ind w:left="60"/>
              <w:spacing w:after="0"/>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81"/>
        </w:trPr>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7"/>
              </w:rPr>
              <w:t>Termination Date</w:t>
            </w:r>
          </w:p>
        </w:tc>
        <w:tc>
          <w:tcPr>
            <w:tcW w:w="2900" w:type="dxa"/>
            <w:vAlign w:val="bottom"/>
            <w:tcBorders>
              <w:right w:val="single" w:sz="8" w:color="auto"/>
            </w:tcBorders>
          </w:tcPr>
          <w:p>
            <w:pPr>
              <w:spacing w:after="0"/>
              <w:rPr>
                <w:sz w:val="7"/>
                <w:szCs w:val="7"/>
                <w:color w:val="auto"/>
              </w:rPr>
            </w:pPr>
          </w:p>
        </w:tc>
        <w:tc>
          <w:tcPr>
            <w:tcW w:w="5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auto"/>
            </w:tcBorders>
            <w:vMerge w:val="continue"/>
          </w:tcPr>
          <w:p>
            <w:pPr>
              <w:spacing w:after="0"/>
              <w:rPr>
                <w:sz w:val="17"/>
                <w:szCs w:val="17"/>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3"/>
              </w:rPr>
              <w:t>No</w:t>
            </w:r>
          </w:p>
        </w:tc>
        <w:tc>
          <w:tcPr>
            <w:tcW w:w="5300" w:type="dxa"/>
            <w:vAlign w:val="bottom"/>
            <w:vMerge w:val="restart"/>
          </w:tcPr>
          <w:p>
            <w:pPr>
              <w:ind w:left="6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76"/>
        </w:trPr>
        <w:tc>
          <w:tcPr>
            <w:tcW w:w="3060" w:type="dxa"/>
            <w:vAlign w:val="bottom"/>
            <w:tcBorders>
              <w:right w:val="single" w:sz="8" w:color="auto"/>
            </w:tcBorders>
          </w:tcPr>
          <w:p>
            <w:pPr>
              <w:spacing w:after="0"/>
              <w:rPr>
                <w:sz w:val="6"/>
                <w:szCs w:val="6"/>
                <w:color w:val="auto"/>
              </w:rPr>
            </w:pPr>
          </w:p>
        </w:tc>
        <w:tc>
          <w:tcPr>
            <w:tcW w:w="2900" w:type="dxa"/>
            <w:vAlign w:val="bottom"/>
            <w:tcBorders>
              <w:right w:val="single" w:sz="8" w:color="auto"/>
            </w:tcBorders>
            <w:vMerge w:val="continue"/>
          </w:tcPr>
          <w:p>
            <w:pPr>
              <w:spacing w:after="0"/>
              <w:rPr>
                <w:sz w:val="6"/>
                <w:szCs w:val="6"/>
                <w:color w:val="auto"/>
              </w:rPr>
            </w:pPr>
          </w:p>
        </w:tc>
        <w:tc>
          <w:tcPr>
            <w:tcW w:w="5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3060" w:type="dxa"/>
            <w:vAlign w:val="bottom"/>
            <w:tcBorders>
              <w:right w:val="single" w:sz="8" w:color="auto"/>
            </w:tcBorders>
          </w:tcPr>
          <w:p>
            <w:pPr>
              <w:spacing w:after="0"/>
              <w:rPr>
                <w:sz w:val="22"/>
                <w:szCs w:val="22"/>
                <w:color w:val="auto"/>
              </w:rPr>
            </w:pPr>
          </w:p>
        </w:tc>
        <w:tc>
          <w:tcPr>
            <w:tcW w:w="2900" w:type="dxa"/>
            <w:vAlign w:val="bottom"/>
            <w:tcBorders>
              <w:right w:val="single" w:sz="8" w:color="auto"/>
            </w:tcBorders>
          </w:tcPr>
          <w:p>
            <w:pPr>
              <w:spacing w:after="0"/>
              <w:rPr>
                <w:sz w:val="22"/>
                <w:szCs w:val="22"/>
                <w:color w:val="auto"/>
              </w:rPr>
            </w:pPr>
          </w:p>
        </w:tc>
        <w:tc>
          <w:tcPr>
            <w:tcW w:w="5300" w:type="dxa"/>
            <w:vAlign w:val="bottom"/>
          </w:tcPr>
          <w:p>
            <w:pPr>
              <w:ind w:left="6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71"/>
        </w:trPr>
        <w:tc>
          <w:tcPr>
            <w:tcW w:w="306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40" w:right="500" w:hanging="140"/>
        <w:spacing w:after="0" w:line="318" w:lineRule="auto"/>
        <w:rPr>
          <w:sz w:val="20"/>
          <w:szCs w:val="20"/>
          <w:color w:val="auto"/>
        </w:rPr>
      </w:pPr>
      <w:r>
        <w:rPr>
          <w:rFonts w:ascii="Arial" w:cs="Arial" w:eastAsia="Arial" w:hAnsi="Arial"/>
          <w:sz w:val="18"/>
          <w:szCs w:val="18"/>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288" w:lineRule="exact"/>
        <w:rPr>
          <w:sz w:val="20"/>
          <w:szCs w:val="20"/>
          <w:color w:val="auto"/>
        </w:rPr>
      </w:pPr>
    </w:p>
    <w:p>
      <w:pPr>
        <w:ind w:right="240"/>
        <w:spacing w:after="0" w:line="298"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defined under the RTX Savings Plan. The calculation to determine Early Retirement will include partial years, rounded down to the nearest full month.</w:t>
      </w:r>
    </w:p>
    <w:p>
      <w:pPr>
        <w:spacing w:after="0" w:line="119" w:lineRule="exact"/>
        <w:rPr>
          <w:sz w:val="20"/>
          <w:szCs w:val="20"/>
          <w:color w:val="auto"/>
        </w:rPr>
      </w:pPr>
    </w:p>
    <w:p>
      <w:pPr>
        <w:ind w:right="600"/>
        <w:spacing w:after="0" w:line="257"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67"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SARs will be forfeited as of the Termination Date regardless of the Participant’s Retirement eligibility. In addition, awards may be forfeited and the value realized from previously exercised SARs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1440" w:right="319" w:bottom="1440" w:gutter="0" w:footer="0" w:header="0"/>
        </w:sectPr>
      </w:pPr>
    </w:p>
    <w:bookmarkStart w:id="77" w:name="page78"/>
    <w:bookmarkEnd w:id="77"/>
    <w:p>
      <w:pPr>
        <w:ind w:right="740"/>
        <w:spacing w:after="0" w:line="257" w:lineRule="auto"/>
        <w:rPr>
          <w:sz w:val="20"/>
          <w:szCs w:val="20"/>
          <w:color w:val="auto"/>
        </w:rPr>
      </w:pPr>
      <w:r>
        <w:rPr>
          <w:rFonts w:ascii="Arial" w:cs="Arial" w:eastAsia="Arial" w:hAnsi="Arial"/>
          <w:sz w:val="20"/>
          <w:szCs w:val="20"/>
          <w:color w:val="221E1F"/>
        </w:rPr>
        <w:t xml:space="preserve">be subject to repayment in the event of termination for Cause or certain other occurrences (see “Forfeiture of Award and Repayment of Realized Gains” </w:t>
      </w:r>
      <w:r>
        <w:rPr>
          <w:rFonts w:ascii="Arial" w:cs="Arial" w:eastAsia="Arial" w:hAnsi="Arial"/>
          <w:sz w:val="20"/>
          <w:szCs w:val="20"/>
          <w:color w:val="000000"/>
        </w:rPr>
        <w:t>or “Company Compliance Policies”</w:t>
      </w:r>
      <w:r>
        <w:rPr>
          <w:rFonts w:ascii="Arial" w:cs="Arial" w:eastAsia="Arial" w:hAnsi="Arial"/>
          <w:sz w:val="20"/>
          <w:szCs w:val="20"/>
          <w:color w:val="221E1F"/>
        </w:rPr>
        <w:t xml:space="preserve"> below).</w:t>
      </w:r>
    </w:p>
    <w:p>
      <w:pPr>
        <w:spacing w:after="0" w:line="167" w:lineRule="exact"/>
        <w:rPr>
          <w:sz w:val="20"/>
          <w:szCs w:val="20"/>
          <w:color w:val="auto"/>
        </w:rPr>
      </w:pPr>
    </w:p>
    <w:p>
      <w:pPr>
        <w:ind w:right="80"/>
        <w:spacing w:after="0" w:line="238"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other 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held for at least one year will be based on the number of months worked during the vesting period, including partial months, relative to the full vesting period. SARs not vested under this pro-rata vesting formula will be forfeited as of the Termination Date.</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221E1F"/>
        </w:rPr>
        <w:t>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w:t>
      </w:r>
    </w:p>
    <w:p>
      <w:pPr>
        <w:spacing w:after="0" w:line="153"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169"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 or its delegate.</w:t>
      </w:r>
    </w:p>
    <w:p>
      <w:pPr>
        <w:spacing w:after="0" w:line="169" w:lineRule="exact"/>
        <w:rPr>
          <w:sz w:val="20"/>
          <w:szCs w:val="20"/>
          <w:color w:val="auto"/>
        </w:rPr>
      </w:pPr>
    </w:p>
    <w:p>
      <w:pPr>
        <w:jc w:val="both"/>
        <w:ind w:right="680"/>
        <w:spacing w:after="0" w:line="248" w:lineRule="auto"/>
        <w:rPr>
          <w:sz w:val="20"/>
          <w:szCs w:val="20"/>
          <w:color w:val="auto"/>
        </w:rPr>
      </w:pPr>
      <w:r>
        <w:rPr>
          <w:rFonts w:ascii="Arial" w:cs="Arial" w:eastAsia="Arial" w:hAnsi="Arial"/>
          <w:sz w:val="20"/>
          <w:szCs w:val="20"/>
          <w:color w:val="auto"/>
        </w:rPr>
        <w:t xml:space="preserve">Retirement eligible Participants will vest in accordance with the Retirement provisions set forth above. Change-in-Control Terminations are subject to vesting treatment as set forth in the Change-in-Control provisions below. </w:t>
      </w:r>
      <w:r>
        <w:rPr>
          <w:rFonts w:ascii="Arial" w:cs="Arial" w:eastAsia="Arial" w:hAnsi="Arial"/>
          <w:sz w:val="20"/>
          <w:szCs w:val="20"/>
          <w:color w:val="221E1F"/>
        </w:rPr>
        <w:t>A Participant who is</w:t>
      </w:r>
      <w:r>
        <w:rPr>
          <w:rFonts w:ascii="Arial" w:cs="Arial" w:eastAsia="Arial" w:hAnsi="Arial"/>
          <w:sz w:val="20"/>
          <w:szCs w:val="20"/>
          <w:color w:val="auto"/>
        </w:rPr>
        <w:t xml:space="preserve"> </w:t>
      </w:r>
      <w:r>
        <w:rPr>
          <w:rFonts w:ascii="Arial" w:cs="Arial" w:eastAsia="Arial" w:hAnsi="Arial"/>
          <w:sz w:val="20"/>
          <w:szCs w:val="20"/>
          <w:color w:val="221E1F"/>
        </w:rPr>
        <w:t>involuntarily terminated for Cause is not eligible for pro-rata vesting of Awards.</w:t>
      </w:r>
    </w:p>
    <w:p>
      <w:pPr>
        <w:spacing w:after="0" w:line="163"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prior to the vesting date is not entitled to pro-rata vesting and will forfeit all unvested SARs. Vested SARs may be exercised for up to ninety (90) days from the Termination Date or until the expiration of the SAR (if earlier). Unexercised SARs will expire without value at the close of the NYSE on the ninetieth (90</w:t>
      </w:r>
      <w:r>
        <w:rPr>
          <w:rFonts w:ascii="Arial" w:cs="Arial" w:eastAsia="Arial" w:hAnsi="Arial"/>
          <w:sz w:val="25"/>
          <w:szCs w:val="25"/>
          <w:color w:val="221E1F"/>
          <w:vertAlign w:val="superscript"/>
        </w:rPr>
        <w:t>th</w:t>
      </w:r>
      <w:r>
        <w:rPr>
          <w:rFonts w:ascii="Arial" w:cs="Arial" w:eastAsia="Arial" w:hAnsi="Arial"/>
          <w:sz w:val="20"/>
          <w:szCs w:val="20"/>
          <w:color w:val="221E1F"/>
        </w:rPr>
        <w:t>) day following the Termination Date, or the expiration date, whichever comes first. In the event that the date falls on a weekend or market holiday, the SARs will be cancelled at the end of the last trading day prior to the 90</w:t>
      </w:r>
      <w:r>
        <w:rPr>
          <w:rFonts w:ascii="Arial" w:cs="Arial" w:eastAsia="Arial" w:hAnsi="Arial"/>
          <w:sz w:val="25"/>
          <w:szCs w:val="25"/>
          <w:color w:val="221E1F"/>
          <w:vertAlign w:val="superscript"/>
        </w:rPr>
        <w:t>th</w:t>
      </w:r>
      <w:r>
        <w:rPr>
          <w:rFonts w:ascii="Arial" w:cs="Arial" w:eastAsia="Arial" w:hAnsi="Arial"/>
          <w:sz w:val="20"/>
          <w:szCs w:val="20"/>
          <w:color w:val="221E1F"/>
        </w:rPr>
        <w:t xml:space="preserve"> day.</w:t>
      </w:r>
    </w:p>
    <w:p>
      <w:pPr>
        <w:spacing w:after="0" w:line="101" w:lineRule="exact"/>
        <w:rPr>
          <w:sz w:val="20"/>
          <w:szCs w:val="20"/>
          <w:color w:val="auto"/>
        </w:rPr>
      </w:pPr>
    </w:p>
    <w:p>
      <w:pPr>
        <w:ind w:right="160"/>
        <w:spacing w:after="0" w:line="246" w:lineRule="auto"/>
        <w:rPr>
          <w:sz w:val="20"/>
          <w:szCs w:val="20"/>
          <w:color w:val="auto"/>
        </w:rPr>
      </w:pPr>
      <w:r>
        <w:rPr>
          <w:rFonts w:ascii="Arial" w:cs="Arial" w:eastAsia="Arial" w:hAnsi="Arial"/>
          <w:sz w:val="19"/>
          <w:szCs w:val="19"/>
          <w:b w:val="1"/>
          <w:bCs w:val="1"/>
          <w:color w:val="221E1F"/>
        </w:rPr>
        <w:t xml:space="preserve">Disability. </w:t>
      </w:r>
      <w:r>
        <w:rPr>
          <w:rFonts w:ascii="Arial" w:cs="Arial" w:eastAsia="Arial" w:hAnsi="Arial"/>
          <w:sz w:val="19"/>
          <w:szCs w:val="19"/>
          <w:color w:val="221E1F"/>
        </w:rPr>
        <w:t>If a Participant incurs a Disability (as defined in the LTIP), vested SARs may be exercised for up to three (3) years</w:t>
      </w:r>
      <w:r>
        <w:rPr>
          <w:rFonts w:ascii="Arial" w:cs="Arial" w:eastAsia="Arial" w:hAnsi="Arial"/>
          <w:sz w:val="19"/>
          <w:szCs w:val="19"/>
          <w:b w:val="1"/>
          <w:bCs w:val="1"/>
          <w:color w:val="221E1F"/>
        </w:rPr>
        <w:t xml:space="preserve"> </w:t>
      </w:r>
      <w:r>
        <w:rPr>
          <w:rFonts w:ascii="Arial" w:cs="Arial" w:eastAsia="Arial" w:hAnsi="Arial"/>
          <w:sz w:val="19"/>
          <w:szCs w:val="19"/>
          <w:color w:val="221E1F"/>
        </w:rPr>
        <w:t>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221E1F"/>
        </w:rPr>
        <w:t>(3) years following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14" w:right="339" w:bottom="1440" w:gutter="0" w:footer="0" w:header="0"/>
        </w:sectPr>
      </w:pPr>
    </w:p>
    <w:bookmarkStart w:id="78" w:name="page79"/>
    <w:bookmarkEnd w:id="78"/>
    <w:p>
      <w:pPr>
        <w:ind w:right="300"/>
        <w:spacing w:after="0" w:line="241" w:lineRule="auto"/>
        <w:rPr>
          <w:sz w:val="20"/>
          <w:szCs w:val="20"/>
          <w:color w:val="auto"/>
        </w:rPr>
      </w:pPr>
      <w:r>
        <w:rPr>
          <w:rFonts w:ascii="Arial" w:cs="Arial" w:eastAsia="Arial" w:hAnsi="Arial"/>
          <w:sz w:val="20"/>
          <w:szCs w:val="20"/>
          <w:b w:val="1"/>
          <w:bCs w:val="1"/>
          <w:color w:val="auto"/>
        </w:rPr>
        <w:t xml:space="preserve">Authorized Leave of Absence (excluding Personal Leave). </w:t>
      </w:r>
      <w:r>
        <w:rPr>
          <w:rFonts w:ascii="Arial" w:cs="Arial" w:eastAsia="Arial" w:hAnsi="Arial"/>
          <w:sz w:val="20"/>
          <w:szCs w:val="20"/>
          <w:color w:val="auto"/>
        </w:rPr>
        <w:t>If a</w:t>
      </w:r>
      <w:r>
        <w:rPr>
          <w:rFonts w:ascii="Arial" w:cs="Arial" w:eastAsia="Arial" w:hAnsi="Arial"/>
          <w:sz w:val="20"/>
          <w:szCs w:val="20"/>
          <w:b w:val="1"/>
          <w:bCs w:val="1"/>
          <w:color w:val="auto"/>
        </w:rPr>
        <w:t xml:space="preserve"> </w:t>
      </w:r>
      <w:r>
        <w:rPr>
          <w:rFonts w:ascii="Arial" w:cs="Arial" w:eastAsia="Arial" w:hAnsi="Arial"/>
          <w:sz w:val="20"/>
          <w:szCs w:val="20"/>
          <w:color w:val="221E1F"/>
        </w:rPr>
        <w:t>Participant is on a Company authorized leave of absence</w:t>
      </w:r>
      <w:r>
        <w:rPr>
          <w:rFonts w:ascii="Arial" w:cs="Arial" w:eastAsia="Arial" w:hAnsi="Arial"/>
          <w:sz w:val="20"/>
          <w:szCs w:val="20"/>
          <w:b w:val="1"/>
          <w:bCs w:val="1"/>
          <w:color w:val="auto"/>
        </w:rPr>
        <w:t xml:space="preserve"> </w:t>
      </w:r>
      <w:r>
        <w:rPr>
          <w:rFonts w:ascii="Arial" w:cs="Arial" w:eastAsia="Arial" w:hAnsi="Arial"/>
          <w:sz w:val="20"/>
          <w:szCs w:val="20"/>
          <w:color w:val="221E1F"/>
        </w:rPr>
        <w:t>(</w:t>
      </w:r>
      <w:r>
        <w:rPr>
          <w:rFonts w:ascii="Arial" w:cs="Arial" w:eastAsia="Arial" w:hAnsi="Arial"/>
          <w:sz w:val="20"/>
          <w:szCs w:val="20"/>
          <w:color w:val="000000"/>
        </w:rPr>
        <w:t>FMLA, Medical, Military, Parental leave, etc.</w:t>
      </w:r>
      <w:r>
        <w:rPr>
          <w:rFonts w:ascii="Arial" w:cs="Arial" w:eastAsia="Arial" w:hAnsi="Arial"/>
          <w:sz w:val="20"/>
          <w:szCs w:val="20"/>
          <w:color w:val="221E1F"/>
        </w:rPr>
        <w:t>) that is not associated with a Termination of Service, unvested SARs will remain eligible to vest during the period of leave, subject to the Participant’s continued employment with the Company through the vesting date</w:t>
      </w:r>
      <w:r>
        <w:rPr>
          <w:rFonts w:ascii="Arial" w:cs="Arial" w:eastAsia="Arial" w:hAnsi="Arial"/>
          <w:sz w:val="20"/>
          <w:szCs w:val="20"/>
          <w:color w:val="000000"/>
        </w:rPr>
        <w:t>.</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 xml:space="preserve">Personal Leave of Absence. </w:t>
      </w:r>
      <w:r>
        <w:rPr>
          <w:rFonts w:ascii="Arial" w:cs="Arial" w:eastAsia="Arial" w:hAnsi="Arial"/>
          <w:sz w:val="19"/>
          <w:szCs w:val="19"/>
          <w:color w:val="auto"/>
        </w:rPr>
        <w:t>A personal leave of absence is an unpaid leave of absence not otherwise covered under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leave policies. A P</w:t>
      </w:r>
      <w:r>
        <w:rPr>
          <w:rFonts w:ascii="Arial" w:cs="Arial" w:eastAsia="Arial" w:hAnsi="Arial"/>
          <w:sz w:val="19"/>
          <w:szCs w:val="19"/>
          <w:color w:val="221E1F"/>
        </w:rPr>
        <w:t>articipant who is on an extended personal leave of absence during the vesting period (&gt; six (6)</w:t>
      </w:r>
      <w:r>
        <w:rPr>
          <w:rFonts w:ascii="Arial" w:cs="Arial" w:eastAsia="Arial" w:hAnsi="Arial"/>
          <w:sz w:val="19"/>
          <w:szCs w:val="19"/>
          <w:color w:val="auto"/>
        </w:rPr>
        <w:t xml:space="preserve"> </w:t>
      </w:r>
      <w:r>
        <w:rPr>
          <w:rFonts w:ascii="Arial" w:cs="Arial" w:eastAsia="Arial" w:hAnsi="Arial"/>
          <w:sz w:val="19"/>
          <w:szCs w:val="19"/>
          <w:color w:val="221E1F"/>
        </w:rPr>
        <w:t xml:space="preserve">months) and who has not returned to active service as of the vesting date will forfeit their SAR award. The participant may dispute the forfeiture by submitting a detailed exception request to </w:t>
      </w:r>
      <w:r>
        <w:rPr>
          <w:rFonts w:ascii="Arial" w:cs="Arial" w:eastAsia="Arial" w:hAnsi="Arial"/>
          <w:sz w:val="19"/>
          <w:szCs w:val="19"/>
          <w:color w:val="000000"/>
        </w:rPr>
        <w:t>the RTX Stock Plan Administrator at:</w:t>
      </w:r>
      <w:r>
        <w:rPr>
          <w:rFonts w:ascii="Arial" w:cs="Arial" w:eastAsia="Arial" w:hAnsi="Arial"/>
          <w:sz w:val="19"/>
          <w:szCs w:val="19"/>
          <w:color w:val="221E1F"/>
        </w:rPr>
        <w:t xml:space="preserve"> </w:t>
      </w:r>
      <w:r>
        <w:rPr>
          <w:rFonts w:ascii="Arial" w:cs="Arial" w:eastAsia="Arial" w:hAnsi="Arial"/>
          <w:sz w:val="19"/>
          <w:szCs w:val="19"/>
          <w:u w:val="single" w:color="auto"/>
          <w:color w:val="0000FF"/>
        </w:rPr>
        <w:t>rtxstockadmin@rtx.com</w:t>
      </w:r>
      <w:r>
        <w:rPr>
          <w:rFonts w:ascii="Arial" w:cs="Arial" w:eastAsia="Arial" w:hAnsi="Arial"/>
          <w:sz w:val="19"/>
          <w:szCs w:val="19"/>
          <w:color w:val="221E1F"/>
        </w:rPr>
        <w:t>. The decision as to whether to grant an exception will be based on a review of the facts and circumstances of the leave and whether or not the Company anticipates the Participant to return to their role after the leave period is over.</w:t>
      </w:r>
    </w:p>
    <w:p>
      <w:pPr>
        <w:spacing w:after="0" w:line="157"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SARs will vest as of the date</w:t>
      </w:r>
      <w:r>
        <w:rPr>
          <w:rFonts w:ascii="Arial" w:cs="Arial" w:eastAsia="Arial" w:hAnsi="Arial"/>
          <w:sz w:val="20"/>
          <w:szCs w:val="20"/>
          <w:b w:val="1"/>
          <w:bCs w:val="1"/>
          <w:color w:val="221E1F"/>
        </w:rPr>
        <w:t xml:space="preserve"> </w:t>
      </w:r>
      <w:r>
        <w:rPr>
          <w:rFonts w:ascii="Arial" w:cs="Arial" w:eastAsia="Arial" w:hAnsi="Arial"/>
          <w:sz w:val="20"/>
          <w:szCs w:val="20"/>
          <w:color w:val="221E1F"/>
        </w:rPr>
        <w:t>of death and become exercisable. A Participant’s estate 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20"/>
          <w:szCs w:val="20"/>
          <w:color w:val="221E1F"/>
        </w:rPr>
        <w:t>Different tax rules may apply when the estate or heir exercises the deceased Participant’s SARs. A personal tax or financial advisor should be consulted under this scenario.</w:t>
      </w:r>
    </w:p>
    <w:p>
      <w:pPr>
        <w:spacing w:after="0" w:line="140"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auto"/>
        </w:rPr>
        <w:t xml:space="preserve">Rehire. </w:t>
      </w:r>
      <w:r>
        <w:rPr>
          <w:rFonts w:ascii="Arial" w:cs="Arial" w:eastAsia="Arial" w:hAnsi="Arial"/>
          <w:sz w:val="20"/>
          <w:szCs w:val="20"/>
          <w:color w:val="221E1F"/>
        </w:rPr>
        <w:t>If the Company rehires a Participant within 90 days following the Participant’s Termination Date, unvested SARs that</w:t>
      </w:r>
      <w:r>
        <w:rPr>
          <w:rFonts w:ascii="Arial" w:cs="Arial" w:eastAsia="Arial" w:hAnsi="Arial"/>
          <w:sz w:val="20"/>
          <w:szCs w:val="20"/>
          <w:b w:val="1"/>
          <w:bCs w:val="1"/>
          <w:color w:val="auto"/>
        </w:rPr>
        <w:t xml:space="preserve"> </w:t>
      </w:r>
      <w:r>
        <w:rPr>
          <w:rFonts w:ascii="Arial" w:cs="Arial" w:eastAsia="Arial" w:hAnsi="Arial"/>
          <w:sz w:val="20"/>
          <w:szCs w:val="20"/>
          <w:color w:val="221E1F"/>
        </w:rPr>
        <w:t>were forfeited and cancelled because of such termination will be reinstated. Unexercised SARs that received accelerated vesting at termination will be subject to the original vesting schedule upon rehire within 90 days following the Termination Date. If the Company rehires a Participant after 90 days following the Termination Date, the SARs will remain forfeited and cancelled.</w:t>
      </w:r>
    </w:p>
    <w:p>
      <w:pPr>
        <w:spacing w:after="0" w:line="183"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reasons 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04"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221E1F"/>
        </w:rPr>
        <w:t xml:space="preserve">SAR Awards, including Common Stock delivered for exercised SARs, are subject to the applicable RTX Corporation Clawback Policy, as amended from time to time, available at </w:t>
      </w:r>
      <w:r>
        <w:rPr>
          <w:rFonts w:ascii="Arial" w:cs="Arial" w:eastAsia="Arial" w:hAnsi="Arial"/>
          <w:sz w:val="20"/>
          <w:szCs w:val="20"/>
          <w:color w:val="0000FF"/>
        </w:rPr>
        <w:t>www.rtx.com</w:t>
      </w:r>
      <w:r>
        <w:rPr>
          <w:rFonts w:ascii="Arial" w:cs="Arial" w:eastAsia="Arial" w:hAnsi="Arial"/>
          <w:sz w:val="20"/>
          <w:szCs w:val="20"/>
          <w:color w:val="221E1F"/>
        </w:rPr>
        <w:t>. SARs, whether or not vested, may be immediately forfeited and a Participant will be obligated to repay to the Company the value realized from the prior exercise of SARs upon the occurrence of any of the following events:</w:t>
      </w:r>
    </w:p>
    <w:p>
      <w:pPr>
        <w:spacing w:after="0" w:line="168"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Termination for Cause (as defined in the LTIP) or for violation of the RTX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12" w:right="339" w:bottom="1440" w:gutter="0" w:footer="0" w:header="0"/>
        </w:sectPr>
      </w:pPr>
    </w:p>
    <w:bookmarkStart w:id="79" w:name="page80"/>
    <w:bookmarkEnd w:id="79"/>
    <w:p>
      <w:pPr>
        <w:ind w:left="500" w:right="320" w:hanging="492"/>
        <w:spacing w:after="0" w:line="257" w:lineRule="auto"/>
        <w:tabs>
          <w:tab w:leader="none" w:pos="49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168" w:lineRule="exact"/>
        <w:rPr>
          <w:rFonts w:ascii="Arial" w:cs="Arial" w:eastAsia="Arial" w:hAnsi="Arial"/>
          <w:sz w:val="20"/>
          <w:szCs w:val="20"/>
          <w:color w:val="auto"/>
        </w:rPr>
      </w:pPr>
    </w:p>
    <w:p>
      <w:pPr>
        <w:ind w:left="480" w:hanging="472"/>
        <w:spacing w:after="0"/>
        <w:tabs>
          <w:tab w:leader="none" w:pos="4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02" w:lineRule="exact"/>
        <w:rPr>
          <w:rFonts w:ascii="Arial" w:cs="Arial" w:eastAsia="Arial" w:hAnsi="Arial"/>
          <w:sz w:val="20"/>
          <w:szCs w:val="20"/>
          <w:color w:val="auto"/>
        </w:rPr>
      </w:pPr>
    </w:p>
    <w:p>
      <w:pPr>
        <w:ind w:left="1140" w:right="100" w:hanging="484"/>
        <w:spacing w:after="0" w:line="271" w:lineRule="auto"/>
        <w:tabs>
          <w:tab w:leader="none" w:pos="1134" w:val="left"/>
        </w:tabs>
        <w:numPr>
          <w:ilvl w:val="1"/>
          <w:numId w:val="29"/>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42" w:lineRule="exact"/>
        <w:rPr>
          <w:rFonts w:ascii="Arial" w:cs="Arial" w:eastAsia="Arial" w:hAnsi="Arial"/>
          <w:sz w:val="20"/>
          <w:szCs w:val="20"/>
          <w:color w:val="auto"/>
        </w:rPr>
      </w:pPr>
    </w:p>
    <w:p>
      <w:pPr>
        <w:ind w:left="1140" w:right="60" w:hanging="484"/>
        <w:spacing w:after="0" w:line="271" w:lineRule="auto"/>
        <w:tabs>
          <w:tab w:leader="none" w:pos="1134" w:val="left"/>
        </w:tabs>
        <w:numPr>
          <w:ilvl w:val="1"/>
          <w:numId w:val="29"/>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w:t>
      </w:r>
    </w:p>
    <w:p>
      <w:pPr>
        <w:spacing w:after="0" w:line="142" w:lineRule="exact"/>
        <w:rPr>
          <w:rFonts w:ascii="Arial" w:cs="Arial" w:eastAsia="Arial" w:hAnsi="Arial"/>
          <w:sz w:val="20"/>
          <w:szCs w:val="20"/>
          <w:color w:val="auto"/>
        </w:rPr>
      </w:pPr>
    </w:p>
    <w:p>
      <w:pPr>
        <w:ind w:left="480" w:hanging="472"/>
        <w:spacing w:after="0"/>
        <w:tabs>
          <w:tab w:leader="none" w:pos="4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02" w:lineRule="exact"/>
        <w:rPr>
          <w:rFonts w:ascii="Arial" w:cs="Arial" w:eastAsia="Arial" w:hAnsi="Arial"/>
          <w:sz w:val="20"/>
          <w:szCs w:val="20"/>
          <w:color w:val="auto"/>
        </w:rPr>
      </w:pPr>
    </w:p>
    <w:p>
      <w:pPr>
        <w:ind w:left="500" w:right="100" w:hanging="492"/>
        <w:spacing w:after="0" w:line="236" w:lineRule="auto"/>
        <w:tabs>
          <w:tab w:leader="none" w:pos="488"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192" w:lineRule="exact"/>
        <w:rPr>
          <w:rFonts w:ascii="Arial" w:cs="Arial" w:eastAsia="Arial" w:hAnsi="Arial"/>
          <w:sz w:val="20"/>
          <w:szCs w:val="20"/>
          <w:color w:val="auto"/>
        </w:rPr>
      </w:pPr>
    </w:p>
    <w:p>
      <w:pPr>
        <w:ind w:left="500" w:right="520" w:hanging="492"/>
        <w:spacing w:after="0" w:line="248" w:lineRule="auto"/>
        <w:tabs>
          <w:tab w:leader="none" w:pos="489" w:val="left"/>
        </w:tabs>
        <w:numPr>
          <w:ilvl w:val="0"/>
          <w:numId w:val="29"/>
        </w:numPr>
        <w:rPr>
          <w:rFonts w:ascii="Arial" w:cs="Arial" w:eastAsia="Arial" w:hAnsi="Arial"/>
          <w:sz w:val="22"/>
          <w:szCs w:val="22"/>
          <w:color w:val="auto"/>
        </w:rPr>
      </w:pPr>
      <w:r>
        <w:rPr>
          <w:rFonts w:ascii="Arial" w:cs="Arial" w:eastAsia="Arial" w:hAnsi="Arial"/>
          <w:sz w:val="20"/>
          <w:szCs w:val="20"/>
          <w:color w:val="221E1F"/>
        </w:rPr>
        <w:t>Negligent conduct injurious to the Company, including negligent supervision of a subordinate whose action requires a restatement of financial results, or other significant harm to the Company as determined by the Committee; or</w:t>
      </w:r>
    </w:p>
    <w:p>
      <w:pPr>
        <w:spacing w:after="0" w:line="175" w:lineRule="exact"/>
        <w:rPr>
          <w:rFonts w:ascii="Arial" w:cs="Arial" w:eastAsia="Arial" w:hAnsi="Arial"/>
          <w:sz w:val="22"/>
          <w:szCs w:val="22"/>
          <w:color w:val="auto"/>
        </w:rPr>
      </w:pPr>
    </w:p>
    <w:p>
      <w:pPr>
        <w:ind w:left="480" w:hanging="472"/>
        <w:spacing w:after="0"/>
        <w:tabs>
          <w:tab w:leader="none" w:pos="480" w:val="left"/>
        </w:tabs>
        <w:numPr>
          <w:ilvl w:val="0"/>
          <w:numId w:val="29"/>
        </w:numPr>
        <w:rPr>
          <w:rFonts w:ascii="Arial" w:cs="Arial" w:eastAsia="Arial" w:hAnsi="Arial"/>
          <w:sz w:val="20"/>
          <w:szCs w:val="20"/>
          <w:color w:val="auto"/>
        </w:rPr>
      </w:pPr>
      <w:r>
        <w:rPr>
          <w:rFonts w:ascii="Arial" w:cs="Arial" w:eastAsia="Arial" w:hAnsi="Arial"/>
          <w:sz w:val="20"/>
          <w:szCs w:val="20"/>
          <w:color w:val="221E1F"/>
        </w:rPr>
        <w:t>A Participant’s misappropriation of RTX Intellectual Property or violation of his/her Intellectual Property (IP) Agreement.</w:t>
      </w:r>
    </w:p>
    <w:p>
      <w:pPr>
        <w:spacing w:after="0" w:line="202"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color w:val="221E1F"/>
        </w:rPr>
        <w:t>In addition, the Committee reserves the right to require repayment of all or any portion of a SAR Award under item (iv) above, without regard to whether a restatement is attributable to the Participant’s actions, as appropriate and determined at the Committee’s sole discretion.</w:t>
      </w:r>
    </w:p>
    <w:p>
      <w:pPr>
        <w:spacing w:after="0" w:line="165" w:lineRule="exact"/>
        <w:rPr>
          <w:sz w:val="20"/>
          <w:szCs w:val="20"/>
          <w:color w:val="auto"/>
        </w:rPr>
      </w:pPr>
    </w:p>
    <w:p>
      <w:pPr>
        <w:ind w:right="180"/>
        <w:spacing w:after="0" w:line="238"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 and</w:t>
      </w:r>
      <w:r>
        <w:rPr>
          <w:rFonts w:ascii="Arial" w:cs="Arial" w:eastAsia="Arial" w:hAnsi="Arial"/>
          <w:sz w:val="20"/>
          <w:szCs w:val="20"/>
          <w:color w:val="0000FF"/>
        </w:rPr>
        <w:t xml:space="preserve"> </w:t>
      </w:r>
      <w:r>
        <w:rPr>
          <w:rFonts w:ascii="Arial" w:cs="Arial" w:eastAsia="Arial" w:hAnsi="Arial"/>
          <w:sz w:val="20"/>
          <w:szCs w:val="20"/>
          <w:color w:val="221E1F"/>
        </w:rPr>
        <w:t>the applicable RTX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0"/>
          <w:szCs w:val="20"/>
          <w:color w:val="221E1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14" w:right="339" w:bottom="1440" w:gutter="0" w:footer="0" w:header="0"/>
        </w:sectPr>
      </w:pPr>
    </w:p>
    <w:bookmarkStart w:id="80" w:name="page81"/>
    <w:bookmarkEnd w:id="80"/>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31" w:lineRule="exact"/>
        <w:rPr>
          <w:sz w:val="20"/>
          <w:szCs w:val="20"/>
          <w:color w:val="auto"/>
        </w:rPr>
      </w:pPr>
    </w:p>
    <w:p>
      <w:pPr>
        <w:jc w:val="both"/>
        <w:ind w:right="400"/>
        <w:spacing w:after="0" w:line="282"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221E1F"/>
        </w:rPr>
        <w:t>Further information concerning capital adjustments is set forth in Section 3(e) of the LTIP, available at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31" w:lineRule="exact"/>
        <w:rPr>
          <w:sz w:val="20"/>
          <w:szCs w:val="20"/>
          <w:color w:val="auto"/>
        </w:rPr>
      </w:pPr>
    </w:p>
    <w:p>
      <w:pPr>
        <w:spacing w:after="0" w:line="278" w:lineRule="auto"/>
        <w:rPr>
          <w:sz w:val="20"/>
          <w:szCs w:val="20"/>
          <w:color w:val="auto"/>
        </w:rPr>
      </w:pPr>
      <w:r>
        <w:rPr>
          <w:rFonts w:ascii="Arial" w:cs="Arial" w:eastAsia="Arial" w:hAnsi="Arial"/>
          <w:sz w:val="19"/>
          <w:szCs w:val="19"/>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available at </w:t>
      </w:r>
      <w:r>
        <w:rPr>
          <w:rFonts w:ascii="Arial" w:cs="Arial" w:eastAsia="Arial" w:hAnsi="Arial"/>
          <w:sz w:val="19"/>
          <w:szCs w:val="19"/>
          <w:u w:val="single" w:color="auto"/>
          <w:color w:val="0000FF"/>
        </w:rPr>
        <w:t>www.ubs.com/onesource/rtx</w:t>
      </w:r>
      <w:r>
        <w:rPr>
          <w:rFonts w:ascii="Arial" w:cs="Arial" w:eastAsia="Arial" w:hAnsi="Arial"/>
          <w:sz w:val="19"/>
          <w:szCs w:val="19"/>
          <w:color w:val="000000"/>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31" w:lineRule="exact"/>
        <w:rPr>
          <w:sz w:val="20"/>
          <w:szCs w:val="20"/>
          <w:color w:val="auto"/>
        </w:rPr>
      </w:pPr>
    </w:p>
    <w:p>
      <w:pPr>
        <w:ind w:right="360"/>
        <w:spacing w:after="0" w:line="278" w:lineRule="auto"/>
        <w:rPr>
          <w:sz w:val="20"/>
          <w:szCs w:val="20"/>
          <w:color w:val="auto"/>
        </w:rPr>
      </w:pPr>
      <w:r>
        <w:rPr>
          <w:rFonts w:ascii="Arial" w:cs="Arial" w:eastAsia="Arial" w:hAnsi="Arial"/>
          <w:sz w:val="19"/>
          <w:szCs w:val="19"/>
          <w:color w:val="221E1F"/>
        </w:rPr>
        <w:t>SAR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31"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SARs under the SAR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 date of grant and the</w:t>
      </w:r>
      <w:r>
        <w:rPr>
          <w:rFonts w:ascii="Arial" w:cs="Arial" w:eastAsia="Arial" w:hAnsi="Arial"/>
          <w:sz w:val="20"/>
          <w:szCs w:val="20"/>
          <w:color w:val="221E1F"/>
        </w:rPr>
        <w:t xml:space="preserve"> </w:t>
      </w:r>
      <w:r>
        <w:rPr>
          <w:rFonts w:ascii="Arial" w:cs="Arial" w:eastAsia="Arial" w:hAnsi="Arial"/>
          <w:sz w:val="20"/>
          <w:szCs w:val="20"/>
          <w:color w:val="211F1F"/>
        </w:rPr>
        <w:t xml:space="preserve">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81" w:name="page82"/>
    <w:bookmarkEnd w:id="81"/>
    <w:p>
      <w:pPr>
        <w:ind w:right="140"/>
        <w:spacing w:after="0"/>
        <w:rPr>
          <w:sz w:val="20"/>
          <w:szCs w:val="20"/>
          <w:color w:val="auto"/>
        </w:rPr>
      </w:pPr>
      <w:r>
        <w:rPr>
          <w:rFonts w:ascii="Arial" w:cs="Arial" w:eastAsia="Arial" w:hAnsi="Arial"/>
          <w:sz w:val="20"/>
          <w:szCs w:val="20"/>
          <w:color w:val="221E1F"/>
        </w:rPr>
        <w:t>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211F1F"/>
        </w:rPr>
        <w:t>Important information about the U.S. Federal income tax consequences of LTIP Awards can be found in the LTIP Prospectus at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04" w:lineRule="exact"/>
        <w:rPr>
          <w:sz w:val="20"/>
          <w:szCs w:val="20"/>
          <w:color w:val="auto"/>
        </w:rPr>
      </w:pPr>
    </w:p>
    <w:p>
      <w:pPr>
        <w:ind w:right="440"/>
        <w:spacing w:after="0" w:line="248" w:lineRule="auto"/>
        <w:rPr>
          <w:sz w:val="20"/>
          <w:szCs w:val="20"/>
          <w:color w:val="auto"/>
        </w:rPr>
      </w:pPr>
      <w:r>
        <w:rPr>
          <w:rFonts w:ascii="Arial" w:cs="Arial" w:eastAsia="Arial" w:hAnsi="Arial"/>
          <w:sz w:val="20"/>
          <w:szCs w:val="20"/>
          <w:color w:val="221E1F"/>
        </w:rPr>
        <w:t xml:space="preserve">No </w:t>
      </w:r>
      <w:r>
        <w:rPr>
          <w:rFonts w:ascii="Arial" w:cs="Arial" w:eastAsia="Arial" w:hAnsi="Arial"/>
          <w:sz w:val="20"/>
          <w:szCs w:val="20"/>
          <w:color w:val="000000"/>
        </w:rPr>
        <w:t>assignment or transfer of any right or interest of a Participant in any SAR Award, whether voluntary or involuntary, by</w:t>
      </w:r>
      <w:r>
        <w:rPr>
          <w:rFonts w:ascii="Arial" w:cs="Arial" w:eastAsia="Arial" w:hAnsi="Arial"/>
          <w:sz w:val="20"/>
          <w:szCs w:val="20"/>
          <w:color w:val="221E1F"/>
        </w:rPr>
        <w:t xml:space="preserve"> </w:t>
      </w:r>
      <w:r>
        <w:rPr>
          <w:rFonts w:ascii="Arial" w:cs="Arial" w:eastAsia="Arial" w:hAnsi="Arial"/>
          <w:sz w:val="20"/>
          <w:szCs w:val="20"/>
          <w:color w:val="000000"/>
        </w:rPr>
        <w:t xml:space="preserve">operation of law or otherwise, is permitted except by will or the laws of descent and distribution. Any other </w:t>
      </w:r>
      <w:r>
        <w:rPr>
          <w:rFonts w:ascii="Arial" w:cs="Arial" w:eastAsia="Arial" w:hAnsi="Arial"/>
          <w:sz w:val="20"/>
          <w:szCs w:val="20"/>
          <w:color w:val="221E1F"/>
        </w:rPr>
        <w:t>attempt to assign</w:t>
      </w:r>
      <w:r>
        <w:rPr>
          <w:rFonts w:ascii="Arial" w:cs="Arial" w:eastAsia="Arial" w:hAnsi="Arial"/>
          <w:sz w:val="20"/>
          <w:szCs w:val="20"/>
          <w:color w:val="000000"/>
        </w:rPr>
        <w:t xml:space="preserve"> </w:t>
      </w:r>
      <w:r>
        <w:rPr>
          <w:rFonts w:ascii="Arial" w:cs="Arial" w:eastAsia="Arial" w:hAnsi="Arial"/>
          <w:sz w:val="20"/>
          <w:szCs w:val="20"/>
          <w:color w:val="221E1F"/>
        </w:rPr>
        <w:t>such rights or interest shall be void and without force or effect.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04" w:lineRule="exact"/>
        <w:rPr>
          <w:sz w:val="20"/>
          <w:szCs w:val="20"/>
          <w:color w:val="auto"/>
        </w:rPr>
      </w:pPr>
    </w:p>
    <w:p>
      <w:pPr>
        <w:jc w:val="both"/>
        <w:ind w:right="80"/>
        <w:spacing w:after="0"/>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04"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211E1F"/>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8" w:lineRule="exact"/>
        <w:rPr>
          <w:sz w:val="20"/>
          <w:szCs w:val="20"/>
          <w:color w:val="auto"/>
        </w:rPr>
      </w:pPr>
    </w:p>
    <w:p>
      <w:pPr>
        <w:spacing w:after="0" w:line="23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14" w:right="339" w:bottom="1440" w:gutter="0" w:footer="0" w:header="0"/>
        </w:sectPr>
      </w:pPr>
    </w:p>
    <w:bookmarkStart w:id="82" w:name="page83"/>
    <w:bookmarkEnd w:id="82"/>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04"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04"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auto"/>
        </w:rPr>
        <w:t xml:space="preserve">. </w:t>
      </w:r>
      <w:r>
        <w:rPr>
          <w:rFonts w:ascii="Arial" w:cs="Arial" w:eastAsia="Arial" w:hAnsi="Arial"/>
          <w:sz w:val="20"/>
          <w:szCs w:val="20"/>
          <w:color w:val="221E1F"/>
        </w:rPr>
        <w:t>The Company is also required to be compliant</w:t>
      </w:r>
      <w:r>
        <w:rPr>
          <w:rFonts w:ascii="Arial" w:cs="Arial" w:eastAsia="Arial" w:hAnsi="Arial"/>
          <w:sz w:val="20"/>
          <w:szCs w:val="20"/>
          <w:color w:val="auto"/>
        </w:rPr>
        <w:t xml:space="preserve"> </w:t>
      </w:r>
      <w:r>
        <w:rPr>
          <w:rFonts w:ascii="Arial" w:cs="Arial" w:eastAsia="Arial" w:hAnsi="Arial"/>
          <w:sz w:val="20"/>
          <w:szCs w:val="20"/>
          <w:color w:val="221E1F"/>
        </w:rPr>
        <w:t>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04"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221E1F"/>
        </w:rPr>
        <w:t xml:space="preserve">This Schedule of Terms provides a summary of terms applicable to the SAR Award. This Schedule of Terms and each Award 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04" w:lineRule="exact"/>
        <w:rPr>
          <w:sz w:val="20"/>
          <w:szCs w:val="20"/>
          <w:color w:val="auto"/>
        </w:rPr>
      </w:pPr>
    </w:p>
    <w:p>
      <w:pPr>
        <w:ind w:right="1220"/>
        <w:spacing w:after="0" w:line="271" w:lineRule="auto"/>
        <w:rPr>
          <w:sz w:val="20"/>
          <w:szCs w:val="20"/>
          <w:color w:val="auto"/>
        </w:rPr>
      </w:pPr>
      <w:r>
        <w:rPr>
          <w:rFonts w:ascii="Arial" w:cs="Arial" w:eastAsia="Arial" w:hAnsi="Arial"/>
          <w:sz w:val="20"/>
          <w:szCs w:val="20"/>
          <w:color w:val="auto"/>
        </w:rPr>
        <w:t xml:space="preserve">Questions concerning the LTIP or Awards and requests for LTIP documents can be directed to the RTX Stock Plan Administrator by emailing: </w:t>
      </w:r>
      <w:r>
        <w:rPr>
          <w:rFonts w:ascii="Arial" w:cs="Arial" w:eastAsia="Arial" w:hAnsi="Arial"/>
          <w:sz w:val="20"/>
          <w:szCs w:val="20"/>
          <w:u w:val="single" w:color="auto"/>
          <w:color w:val="0000FF"/>
        </w:rPr>
        <w:t>rtxstockadmin@rtx.com</w:t>
      </w:r>
      <w:r>
        <w:rPr>
          <w:rFonts w:ascii="Arial" w:cs="Arial" w:eastAsia="Arial" w:hAnsi="Arial"/>
          <w:sz w:val="20"/>
          <w:szCs w:val="20"/>
          <w:color w:val="auto"/>
        </w:rPr>
        <w:t>.</w:t>
      </w:r>
    </w:p>
    <w:p>
      <w:pPr>
        <w:spacing w:after="0" w:line="142" w:lineRule="exact"/>
        <w:rPr>
          <w:sz w:val="20"/>
          <w:szCs w:val="20"/>
          <w:color w:val="auto"/>
        </w:rPr>
      </w:pPr>
    </w:p>
    <w:p>
      <w:pPr>
        <w:jc w:val="both"/>
        <w:ind w:right="80"/>
        <w:spacing w:after="0" w:line="268"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0"/>
          <w:szCs w:val="20"/>
          <w:b w:val="1"/>
          <w:bCs w:val="1"/>
          <w:color w:val="auto"/>
        </w:rPr>
        <w:t>Exhibit 10.4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RTX Corporation</w:t>
      </w:r>
    </w:p>
    <w:p>
      <w:pPr>
        <w:jc w:val="center"/>
        <w:spacing w:after="0"/>
        <w:rPr>
          <w:sz w:val="20"/>
          <w:szCs w:val="20"/>
          <w:color w:val="auto"/>
        </w:rPr>
      </w:pPr>
      <w:r>
        <w:rPr>
          <w:rFonts w:ascii="Arial" w:cs="Arial" w:eastAsia="Arial" w:hAnsi="Arial"/>
          <w:sz w:val="22"/>
          <w:szCs w:val="22"/>
          <w:b w:val="1"/>
          <w:bCs w:val="1"/>
          <w:color w:val="221E1F"/>
        </w:rPr>
        <w:t>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Non-Qualified Stock Option Award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This Schedule of Terms describes the material features of the Participant’s Non-Qualified Stock Option Award (the “Option Award” or the “Award”) granted under the RTX Corporation Long-Term Incentive Plan, as amended and restated effective May 2, 2024 (the “LTIP”), subject to this Schedule of Terms, the Award Agreement, and the terms and conditions set forth in the LTIP. The LTIP Prospectus contains further information about the LTIP and this Award and is available at </w:t>
      </w:r>
      <w:r>
        <w:rPr>
          <w:rFonts w:ascii="Arial" w:cs="Arial" w:eastAsia="Arial" w:hAnsi="Arial"/>
          <w:sz w:val="18"/>
          <w:szCs w:val="18"/>
          <w:u w:val="single" w:color="auto"/>
          <w:color w:val="0000FF"/>
        </w:rPr>
        <w:t>www.ubs.com/onesource/rtx</w:t>
      </w:r>
      <w:r>
        <w:rPr>
          <w:rFonts w:ascii="Arial" w:cs="Arial" w:eastAsia="Arial" w:hAnsi="Arial"/>
          <w:sz w:val="18"/>
          <w:szCs w:val="18"/>
          <w:color w:val="auto"/>
        </w:rPr>
        <w:t>.</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ectPr>
          <w:pgSz w:w="11900" w:h="16838" w:orient="portrait"/>
          <w:cols w:equalWidth="0" w:num="1">
            <w:col w:w="11240"/>
          </w:cols>
          <w:pgMar w:left="320" w:top="1412"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 Non-qualified Stock Option (an “Option”) represents the right to purchase a specified number of shares of Common Stock of RTX Corporation (the “Common Stock”) for a specified price (the “Exercise Price” or “Grant Price”). Upon exercise, the Participant generally receives shares of Common Stock. Options are generally exercisable if the Participant remains employed by the Company through the applicable vesting date schedule set forth in the Award Agreement (see “Vesting and Expiration” below), or upon an earlier Termination of Service under limited circumstances that result in accelerated vesting (see “Termination of Service” below). “Company” means RTX Corporation (the “Corporation” or “RTX”),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Human Capital &amp; Compensation Committee of the Board of Directors of the Corporation. Capitalized terms not otherwise defined in this Schedule of Terms have the same meaning as defined in the LTIP.</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 xml:space="preserve">The number of Options granted under the Option Award and the </w:t>
      </w:r>
      <w:r>
        <w:rPr>
          <w:rFonts w:ascii="Arial" w:cs="Arial" w:eastAsia="Arial" w:hAnsi="Arial"/>
          <w:sz w:val="20"/>
          <w:szCs w:val="20"/>
          <w:color w:val="221E1F"/>
        </w:rPr>
        <w:t>Option</w:t>
      </w:r>
      <w:r>
        <w:rPr>
          <w:rFonts w:ascii="Arial" w:cs="Arial" w:eastAsia="Arial" w:hAnsi="Arial"/>
          <w:sz w:val="20"/>
          <w:szCs w:val="20"/>
          <w:color w:val="auto"/>
        </w:rPr>
        <w:t xml:space="preserve"> grant price are set forth in the Award Agreement. An LTIP Award recipient (a “Participant”) must affirmatively acknowledge and accept the terms and conditions of the Option Award within 150 days following the Grant Date. A failure to acknowledge and accept the Option Award subject to the LTIP and this Schedule of Terms, within such 150-day period may result in forfeiture of the Option Award, effective as of the 150th day following the Grant Date.</w:t>
      </w:r>
    </w:p>
    <w:p>
      <w:pPr>
        <w:spacing w:after="0" w:line="17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Participants must acknowledge and accept the terms and conditions of this Option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1"/>
          <w:szCs w:val="21"/>
          <w:color w:val="auto"/>
        </w:rPr>
        <w:t>.</w:t>
      </w:r>
      <w:r>
        <w:rPr>
          <w:rFonts w:ascii="Arial" w:cs="Arial" w:eastAsia="Arial" w:hAnsi="Arial"/>
          <w:sz w:val="20"/>
          <w:szCs w:val="20"/>
          <w:color w:val="auto"/>
        </w:rPr>
        <w:t xml:space="preserve"> Participants based in certain countries may be required to acknowledge and accept the terms and conditions of this Option Award by signing and returning the designated hard copy portion of the Award Agreement to the Stock Plan Administrator. These countries currently include Russia, Turkey, Hungary, and Slovenia.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04"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04"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221E1F"/>
        </w:rPr>
        <w:t>Options will vest and expire (if unexercised) in accordance with the schedule set forth in the Award Agreement, subject to the Participant’s continued employment with the Company through each applicable vesting date. Options will be forfeited in the event of Termination of Service prior to the vesting date, except in certain earlier terminations involving Retirement,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12"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221E1F"/>
        </w:rPr>
        <w:t>Options may be exercised on or after the vesting date until the earlier of the:</w:t>
      </w:r>
    </w:p>
    <w:p>
      <w:pPr>
        <w:spacing w:after="0" w:line="229"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Stock Options and all associated rights lapse; or</w:t>
      </w:r>
    </w:p>
    <w:p>
      <w:pPr>
        <w:spacing w:after="0" w:line="202" w:lineRule="exact"/>
        <w:rPr>
          <w:rFonts w:ascii="Arial" w:cs="Arial" w:eastAsia="Arial" w:hAnsi="Arial"/>
          <w:sz w:val="20"/>
          <w:szCs w:val="20"/>
          <w:color w:val="221E1F"/>
        </w:rPr>
      </w:pPr>
    </w:p>
    <w:p>
      <w:pPr>
        <w:ind w:left="280" w:hanging="272"/>
        <w:spacing w:after="0"/>
        <w:tabs>
          <w:tab w:leader="none" w:pos="280" w:val="left"/>
        </w:tabs>
        <w:numPr>
          <w:ilvl w:val="0"/>
          <w:numId w:val="30"/>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pacing w:after="0" w:line="202"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221E1F"/>
        </w:rPr>
        <w:t xml:space="preserve">Options </w:t>
      </w:r>
      <w:r>
        <w:rPr>
          <w:rFonts w:ascii="Arial" w:cs="Arial" w:eastAsia="Arial" w:hAnsi="Arial"/>
          <w:sz w:val="20"/>
          <w:szCs w:val="20"/>
          <w:color w:val="000000"/>
        </w:rPr>
        <w:t>may also be forfeited and value realized from exercised</w:t>
      </w:r>
      <w:r>
        <w:rPr>
          <w:rFonts w:ascii="Arial" w:cs="Arial" w:eastAsia="Arial" w:hAnsi="Arial"/>
          <w:sz w:val="20"/>
          <w:szCs w:val="20"/>
          <w:color w:val="221E1F"/>
        </w:rPr>
        <w:t xml:space="preserve"> Options </w:t>
      </w:r>
      <w:r>
        <w:rPr>
          <w:rFonts w:ascii="Arial" w:cs="Arial" w:eastAsia="Arial" w:hAnsi="Arial"/>
          <w:sz w:val="20"/>
          <w:szCs w:val="20"/>
          <w:color w:val="000000"/>
        </w:rPr>
        <w:t>may be recouped by the Company under certain</w:t>
      </w:r>
      <w:r>
        <w:rPr>
          <w:rFonts w:ascii="Arial" w:cs="Arial" w:eastAsia="Arial" w:hAnsi="Arial"/>
          <w:sz w:val="20"/>
          <w:szCs w:val="20"/>
          <w:color w:val="221E1F"/>
        </w:rPr>
        <w:t xml:space="preserve"> </w:t>
      </w:r>
      <w:r>
        <w:rPr>
          <w:rFonts w:ascii="Arial" w:cs="Arial" w:eastAsia="Arial" w:hAnsi="Arial"/>
          <w:sz w:val="20"/>
          <w:szCs w:val="20"/>
          <w:color w:val="000000"/>
        </w:rPr>
        <w:t>circumstances (see “Forfeiture of Award and Repayment of Realized Gains”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221E1F"/>
        </w:rPr>
        <w:t>The holder of an Option has no voting, dividend, or other rights accorded to owners of Common Stock, unless and until Options are exercised and settled in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04" w:lineRule="exact"/>
        <w:rPr>
          <w:sz w:val="20"/>
          <w:szCs w:val="20"/>
          <w:color w:val="auto"/>
        </w:rPr>
      </w:pPr>
    </w:p>
    <w:p>
      <w:pPr>
        <w:ind w:right="220"/>
        <w:spacing w:after="0"/>
        <w:rPr>
          <w:sz w:val="20"/>
          <w:szCs w:val="20"/>
          <w:color w:val="auto"/>
        </w:rPr>
      </w:pPr>
      <w:r>
        <w:rPr>
          <w:rFonts w:ascii="Arial" w:cs="Arial" w:eastAsia="Arial" w:hAnsi="Arial"/>
          <w:sz w:val="20"/>
          <w:szCs w:val="20"/>
          <w:color w:val="221E1F"/>
        </w:rPr>
        <w:t>While a Participant is employed by the Company, the Participant may exercise Options on or after the vesting date until the expiration date. The value a Participant will realize upon the exercise of an Option is the difference between the price of the Common Stock at the time of exercise and the Grant Price. The Participant will generally receive shares of Common Stock as soon as administratively practicable following exercise. The value of the Options may instead be paid in cash if the Committee so determines, including where local law restricts the distribution of Common Stock.</w:t>
      </w:r>
    </w:p>
    <w:p>
      <w:pPr>
        <w:spacing w:after="0" w:line="173" w:lineRule="exact"/>
        <w:rPr>
          <w:sz w:val="20"/>
          <w:szCs w:val="20"/>
          <w:color w:val="auto"/>
        </w:rPr>
      </w:pPr>
    </w:p>
    <w:p>
      <w:pPr>
        <w:ind w:right="120"/>
        <w:spacing w:after="0"/>
        <w:rPr>
          <w:sz w:val="20"/>
          <w:szCs w:val="20"/>
          <w:color w:val="auto"/>
        </w:rPr>
      </w:pPr>
      <w:r>
        <w:rPr>
          <w:rFonts w:ascii="Arial" w:cs="Arial" w:eastAsia="Arial" w:hAnsi="Arial"/>
          <w:sz w:val="20"/>
          <w:szCs w:val="20"/>
          <w:color w:val="221E1F"/>
        </w:rPr>
        <w:t>It is the responsibility of the Participant, or a designated representative, to track the expiration of the Award and exercise Options in a timely manner. The Company assumes no responsibility for, and will make no adjustments with respect to, Options that expire unexercised. Any communication from the Company to the Participant with respect to expiration is provided as a courtesy only.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221E1F"/>
        </w:rPr>
        <w:t>The treatment of Options upon Termination of Service depends upon the reason for termination, as detailed in the following sections. Options held for less than one year as of the Termination Date will be forfeited, except in the event of Death, Disability, or Change-in-Control Termination, as discussed below.</w:t>
      </w:r>
    </w:p>
    <w:p>
      <w:pPr>
        <w:spacing w:after="0" w:line="165"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40" w:lineRule="exact"/>
        <w:rPr>
          <w:sz w:val="20"/>
          <w:szCs w:val="20"/>
          <w:color w:val="auto"/>
        </w:rPr>
      </w:pPr>
    </w:p>
    <w:p>
      <w:pPr>
        <w:ind w:right="360"/>
        <w:spacing w:after="0" w:line="249"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Options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177"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221E1F"/>
        </w:rPr>
      </w:pPr>
      <w:r>
        <w:rPr>
          <w:rFonts w:ascii="Arial" w:cs="Arial" w:eastAsia="Arial" w:hAnsi="Arial"/>
          <w:sz w:val="20"/>
          <w:szCs w:val="20"/>
          <w:color w:val="221E1F"/>
        </w:rPr>
        <w:t>“Normal Retirement” means retirement on or after age 65;</w:t>
      </w:r>
    </w:p>
    <w:p>
      <w:pPr>
        <w:spacing w:after="0" w:line="201" w:lineRule="exact"/>
        <w:rPr>
          <w:rFonts w:ascii="Times New Roman" w:cs="Times New Roman" w:eastAsia="Times New Roman" w:hAnsi="Times New Roman"/>
          <w:sz w:val="20"/>
          <w:szCs w:val="20"/>
          <w:color w:val="221E1F"/>
        </w:rPr>
      </w:pPr>
    </w:p>
    <w:p>
      <w:pPr>
        <w:ind w:left="700" w:hanging="368"/>
        <w:spacing w:after="0"/>
        <w:tabs>
          <w:tab w:leader="none" w:pos="700" w:val="left"/>
        </w:tabs>
        <w:numPr>
          <w:ilvl w:val="0"/>
          <w:numId w:val="31"/>
        </w:numPr>
        <w:rPr>
          <w:rFonts w:ascii="Times New Roman" w:cs="Times New Roman" w:eastAsia="Times New Roman" w:hAnsi="Times New Roman"/>
          <w:sz w:val="20"/>
          <w:szCs w:val="20"/>
          <w:color w:val="221E1F"/>
        </w:rPr>
      </w:pPr>
      <w:r>
        <w:rPr>
          <w:rFonts w:ascii="Arial" w:cs="Arial" w:eastAsia="Arial" w:hAnsi="Arial"/>
          <w:sz w:val="20"/>
          <w:szCs w:val="20"/>
          <w:color w:val="221E1F"/>
        </w:rPr>
        <w:t>“Early Retirement” means retirement on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14" w:right="339" w:bottom="1440" w:gutter="0" w:footer="0" w:header="0"/>
        </w:sectPr>
      </w:pPr>
    </w:p>
    <w:bookmarkStart w:id="87" w:name="page88"/>
    <w:bookmarkEnd w:id="87"/>
    <w:p>
      <w:pPr>
        <w:ind w:left="1300" w:hanging="320"/>
        <w:spacing w:after="0"/>
        <w:tabs>
          <w:tab w:leader="none" w:pos="1300" w:val="left"/>
        </w:tabs>
        <w:numPr>
          <w:ilvl w:val="0"/>
          <w:numId w:val="32"/>
        </w:numPr>
        <w:rPr>
          <w:rFonts w:ascii="Courier New" w:cs="Courier New" w:eastAsia="Courier New" w:hAnsi="Courier New"/>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97" w:lineRule="exact"/>
        <w:rPr>
          <w:rFonts w:ascii="Courier New" w:cs="Courier New" w:eastAsia="Courier New" w:hAnsi="Courier New"/>
          <w:sz w:val="20"/>
          <w:szCs w:val="20"/>
          <w:color w:val="221E1F"/>
        </w:rPr>
      </w:pPr>
    </w:p>
    <w:p>
      <w:pPr>
        <w:ind w:left="1300" w:right="180" w:hanging="320"/>
        <w:spacing w:after="0" w:line="267" w:lineRule="auto"/>
        <w:tabs>
          <w:tab w:leader="none" w:pos="1300" w:val="left"/>
        </w:tabs>
        <w:numPr>
          <w:ilvl w:val="0"/>
          <w:numId w:val="32"/>
        </w:numPr>
        <w:rPr>
          <w:rFonts w:ascii="Courier New" w:cs="Courier New" w:eastAsia="Courier New" w:hAnsi="Courier New"/>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vested Options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3754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37547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2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221E1F"/>
                <w:w w:val="98"/>
              </w:rPr>
              <w:t>Company Consents to Early</w:t>
            </w:r>
          </w:p>
        </w:tc>
        <w:tc>
          <w:tcPr>
            <w:tcW w:w="5400" w:type="dxa"/>
            <w:vAlign w:val="bottom"/>
            <w:tcBorders>
              <w:top w:val="single" w:sz="8" w:color="auto"/>
            </w:tcBorders>
            <w:vMerge w:val="restart"/>
          </w:tcPr>
          <w:p>
            <w:pPr>
              <w:ind w:left="194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38"/>
        </w:trPr>
        <w:tc>
          <w:tcPr>
            <w:tcW w:w="2940" w:type="dxa"/>
            <w:vAlign w:val="bottom"/>
            <w:tcBorders>
              <w:right w:val="single" w:sz="8" w:color="auto"/>
            </w:tcBorders>
            <w:vMerge w:val="continue"/>
          </w:tcPr>
          <w:p>
            <w:pPr>
              <w:spacing w:after="0"/>
              <w:rPr>
                <w:sz w:val="12"/>
                <w:szCs w:val="12"/>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rPr>
              <w:t>Retirement *</w:t>
            </w:r>
          </w:p>
        </w:tc>
        <w:tc>
          <w:tcPr>
            <w:tcW w:w="5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vMerge w:val="continue"/>
          </w:tcPr>
          <w:p>
            <w:pPr>
              <w:spacing w:after="0"/>
              <w:rPr>
                <w:sz w:val="11"/>
                <w:szCs w:val="11"/>
                <w:color w:val="auto"/>
              </w:rPr>
            </w:pPr>
          </w:p>
        </w:tc>
        <w:tc>
          <w:tcPr>
            <w:tcW w:w="5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9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rPr>
              <w:t>N/A</w:t>
            </w: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until the expiration of their term</w:t>
            </w:r>
          </w:p>
        </w:tc>
        <w:tc>
          <w:tcPr>
            <w:tcW w:w="0" w:type="dxa"/>
            <w:vAlign w:val="bottom"/>
          </w:tcPr>
          <w:p>
            <w:pPr>
              <w:spacing w:after="0"/>
              <w:rPr>
                <w:sz w:val="1"/>
                <w:szCs w:val="1"/>
                <w:color w:val="auto"/>
              </w:rPr>
            </w:pPr>
          </w:p>
        </w:tc>
      </w:tr>
      <w:tr>
        <w:trPr>
          <w:trHeight w:val="30"/>
        </w:trPr>
        <w:tc>
          <w:tcPr>
            <w:tcW w:w="29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Yes</w:t>
            </w: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until the expiration of their term</w:t>
            </w:r>
          </w:p>
        </w:tc>
        <w:tc>
          <w:tcPr>
            <w:tcW w:w="0" w:type="dxa"/>
            <w:vAlign w:val="bottom"/>
          </w:tcPr>
          <w:p>
            <w:pPr>
              <w:spacing w:after="0"/>
              <w:rPr>
                <w:sz w:val="1"/>
                <w:szCs w:val="1"/>
                <w:color w:val="auto"/>
              </w:rPr>
            </w:pPr>
          </w:p>
        </w:tc>
      </w:tr>
      <w:tr>
        <w:trPr>
          <w:trHeight w:val="203"/>
        </w:trPr>
        <w:tc>
          <w:tcPr>
            <w:tcW w:w="2940" w:type="dxa"/>
            <w:vAlign w:val="bottom"/>
            <w:tcBorders>
              <w:right w:val="single" w:sz="8" w:color="auto"/>
            </w:tcBorders>
            <w:vMerge w:val="continue"/>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55 + 10 years of continuous</w:t>
            </w:r>
          </w:p>
        </w:tc>
        <w:tc>
          <w:tcPr>
            <w:tcW w:w="29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940" w:type="dxa"/>
            <w:vAlign w:val="bottom"/>
            <w:tcBorders>
              <w:right w:val="single" w:sz="8" w:color="auto"/>
            </w:tcBorders>
            <w:vMerge w:val="continue"/>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Options may be exercised for three (3) years following the</w:t>
            </w:r>
          </w:p>
        </w:tc>
        <w:tc>
          <w:tcPr>
            <w:tcW w:w="0" w:type="dxa"/>
            <w:vAlign w:val="bottom"/>
          </w:tcPr>
          <w:p>
            <w:pPr>
              <w:spacing w:after="0"/>
              <w:rPr>
                <w:sz w:val="1"/>
                <w:szCs w:val="1"/>
                <w:color w:val="auto"/>
              </w:rPr>
            </w:pPr>
          </w:p>
        </w:tc>
      </w:tr>
      <w:tr>
        <w:trPr>
          <w:trHeight w:val="265"/>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service as of the Termination</w:t>
            </w:r>
          </w:p>
        </w:tc>
        <w:tc>
          <w:tcPr>
            <w:tcW w:w="2920" w:type="dxa"/>
            <w:vAlign w:val="bottom"/>
            <w:tcBorders>
              <w:right w:val="single" w:sz="8" w:color="auto"/>
            </w:tcBorders>
          </w:tcPr>
          <w:p>
            <w:pPr>
              <w:spacing w:after="0"/>
              <w:rPr>
                <w:sz w:val="23"/>
                <w:szCs w:val="23"/>
                <w:color w:val="auto"/>
              </w:rPr>
            </w:pPr>
          </w:p>
        </w:tc>
        <w:tc>
          <w:tcPr>
            <w:tcW w:w="5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Date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rPr>
              <w:t>No</w:t>
            </w:r>
          </w:p>
        </w:tc>
        <w:tc>
          <w:tcPr>
            <w:tcW w:w="540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Stock Option,</w:t>
            </w:r>
          </w:p>
        </w:tc>
        <w:tc>
          <w:tcPr>
            <w:tcW w:w="0" w:type="dxa"/>
            <w:vAlign w:val="bottom"/>
          </w:tcPr>
          <w:p>
            <w:pPr>
              <w:spacing w:after="0"/>
              <w:rPr>
                <w:sz w:val="1"/>
                <w:szCs w:val="1"/>
                <w:color w:val="auto"/>
              </w:rPr>
            </w:pPr>
          </w:p>
        </w:tc>
      </w:tr>
      <w:tr>
        <w:trPr>
          <w:trHeight w:val="261"/>
        </w:trPr>
        <w:tc>
          <w:tcPr>
            <w:tcW w:w="2940" w:type="dxa"/>
            <w:vAlign w:val="bottom"/>
            <w:tcBorders>
              <w:right w:val="single" w:sz="8" w:color="auto"/>
            </w:tcBorders>
          </w:tcPr>
          <w:p>
            <w:pPr>
              <w:spacing w:after="0"/>
              <w:rPr>
                <w:sz w:val="22"/>
                <w:szCs w:val="22"/>
                <w:color w:val="auto"/>
              </w:rPr>
            </w:pPr>
          </w:p>
        </w:tc>
        <w:tc>
          <w:tcPr>
            <w:tcW w:w="2920" w:type="dxa"/>
            <w:vAlign w:val="bottom"/>
            <w:tcBorders>
              <w:right w:val="single" w:sz="8" w:color="auto"/>
            </w:tcBorders>
          </w:tcPr>
          <w:p>
            <w:pPr>
              <w:spacing w:after="0"/>
              <w:rPr>
                <w:sz w:val="22"/>
                <w:szCs w:val="22"/>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19"/>
        </w:trPr>
        <w:tc>
          <w:tcPr>
            <w:tcW w:w="294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294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221E1F"/>
              </w:rPr>
              <w:t>Options may be exercised for five (5) years following the</w:t>
            </w:r>
          </w:p>
        </w:tc>
        <w:tc>
          <w:tcPr>
            <w:tcW w:w="0" w:type="dxa"/>
            <w:vAlign w:val="bottom"/>
          </w:tcPr>
          <w:p>
            <w:pPr>
              <w:spacing w:after="0"/>
              <w:rPr>
                <w:sz w:val="1"/>
                <w:szCs w:val="1"/>
                <w:color w:val="auto"/>
              </w:rPr>
            </w:pPr>
          </w:p>
        </w:tc>
      </w:tr>
      <w:tr>
        <w:trPr>
          <w:trHeight w:val="270"/>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Yes</w:t>
            </w:r>
          </w:p>
        </w:tc>
        <w:tc>
          <w:tcPr>
            <w:tcW w:w="540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Option,</w:t>
            </w:r>
          </w:p>
        </w:tc>
        <w:tc>
          <w:tcPr>
            <w:tcW w:w="0" w:type="dxa"/>
            <w:vAlign w:val="bottom"/>
          </w:tcPr>
          <w:p>
            <w:pPr>
              <w:spacing w:after="0"/>
              <w:rPr>
                <w:sz w:val="1"/>
                <w:szCs w:val="1"/>
                <w:color w:val="auto"/>
              </w:rPr>
            </w:pPr>
          </w:p>
        </w:tc>
      </w:tr>
      <w:tr>
        <w:trPr>
          <w:trHeight w:val="121"/>
        </w:trPr>
        <w:tc>
          <w:tcPr>
            <w:tcW w:w="2940" w:type="dxa"/>
            <w:vAlign w:val="bottom"/>
            <w:tcBorders>
              <w:right w:val="single" w:sz="8" w:color="auto"/>
            </w:tcBorders>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49"/>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8"/>
              </w:rPr>
              <w:t>50, but prior to age 55 + years of</w:t>
            </w:r>
          </w:p>
        </w:tc>
        <w:tc>
          <w:tcPr>
            <w:tcW w:w="2920" w:type="dxa"/>
            <w:vAlign w:val="bottom"/>
            <w:tcBorders>
              <w:right w:val="single" w:sz="8" w:color="auto"/>
            </w:tcBorders>
          </w:tcPr>
          <w:p>
            <w:pPr>
              <w:spacing w:after="0"/>
              <w:rPr>
                <w:sz w:val="12"/>
                <w:szCs w:val="12"/>
                <w:color w:val="auto"/>
              </w:rPr>
            </w:pPr>
          </w:p>
        </w:tc>
        <w:tc>
          <w:tcPr>
            <w:tcW w:w="5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940" w:type="dxa"/>
            <w:vAlign w:val="bottom"/>
            <w:tcBorders>
              <w:right w:val="single" w:sz="8" w:color="auto"/>
            </w:tcBorders>
            <w:vMerge w:val="continue"/>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5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service = 65+ as of the</w:t>
            </w:r>
          </w:p>
        </w:tc>
        <w:tc>
          <w:tcPr>
            <w:tcW w:w="2920" w:type="dxa"/>
            <w:vAlign w:val="bottom"/>
            <w:tcBorders>
              <w:right w:val="single" w:sz="8" w:color="auto"/>
            </w:tcBorders>
          </w:tcPr>
          <w:p>
            <w:pPr>
              <w:spacing w:after="0"/>
              <w:rPr>
                <w:sz w:val="20"/>
                <w:szCs w:val="20"/>
                <w:color w:val="auto"/>
              </w:rPr>
            </w:pP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Options may be exercised for three (3) years following the</w:t>
            </w:r>
          </w:p>
        </w:tc>
        <w:tc>
          <w:tcPr>
            <w:tcW w:w="0" w:type="dxa"/>
            <w:vAlign w:val="bottom"/>
          </w:tcPr>
          <w:p>
            <w:pPr>
              <w:spacing w:after="0"/>
              <w:rPr>
                <w:sz w:val="1"/>
                <w:szCs w:val="1"/>
                <w:color w:val="auto"/>
              </w:rPr>
            </w:pPr>
          </w:p>
        </w:tc>
      </w:tr>
      <w:tr>
        <w:trPr>
          <w:trHeight w:val="148"/>
        </w:trPr>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w w:val="97"/>
              </w:rPr>
              <w:t>Termination Date</w:t>
            </w:r>
          </w:p>
        </w:tc>
        <w:tc>
          <w:tcPr>
            <w:tcW w:w="2920" w:type="dxa"/>
            <w:vAlign w:val="bottom"/>
            <w:tcBorders>
              <w:right w:val="single" w:sz="8" w:color="auto"/>
            </w:tcBorders>
          </w:tcPr>
          <w:p>
            <w:pPr>
              <w:spacing w:after="0"/>
              <w:rPr>
                <w:sz w:val="12"/>
                <w:szCs w:val="12"/>
                <w:color w:val="auto"/>
              </w:rPr>
            </w:pPr>
          </w:p>
        </w:tc>
        <w:tc>
          <w:tcPr>
            <w:tcW w:w="5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vMerge w:val="continue"/>
          </w:tcPr>
          <w:p>
            <w:pPr>
              <w:spacing w:after="0"/>
              <w:rPr>
                <w:sz w:val="11"/>
                <w:szCs w:val="11"/>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21E1F"/>
              </w:rPr>
              <w:t>No</w:t>
            </w:r>
          </w:p>
        </w:tc>
        <w:tc>
          <w:tcPr>
            <w:tcW w:w="5400" w:type="dxa"/>
            <w:vAlign w:val="bottom"/>
            <w:vMerge w:val="restart"/>
          </w:tcPr>
          <w:p>
            <w:pPr>
              <w:ind w:left="20"/>
              <w:spacing w:after="0"/>
              <w:rPr>
                <w:sz w:val="20"/>
                <w:szCs w:val="20"/>
                <w:color w:val="auto"/>
              </w:rPr>
            </w:pPr>
            <w:r>
              <w:rPr>
                <w:rFonts w:ascii="Arial" w:cs="Arial" w:eastAsia="Arial" w:hAnsi="Arial"/>
                <w:sz w:val="20"/>
                <w:szCs w:val="20"/>
                <w:color w:val="221E1F"/>
              </w:rPr>
              <w:t>Termination Date or until the expiration of the Option,</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vMerge w:val="continue"/>
          </w:tcPr>
          <w:p>
            <w:pPr>
              <w:spacing w:after="0"/>
              <w:rPr>
                <w:sz w:val="11"/>
                <w:szCs w:val="11"/>
                <w:color w:val="auto"/>
              </w:rPr>
            </w:pPr>
          </w:p>
        </w:tc>
        <w:tc>
          <w:tcPr>
            <w:tcW w:w="5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940" w:type="dxa"/>
            <w:vAlign w:val="bottom"/>
            <w:tcBorders>
              <w:righ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138"/>
        </w:trPr>
        <w:tc>
          <w:tcPr>
            <w:tcW w:w="2940" w:type="dxa"/>
            <w:vAlign w:val="bottom"/>
            <w:tcBorders>
              <w:bottom w:val="single" w:sz="8" w:color="auto"/>
              <w:right w:val="single" w:sz="8" w:color="auto"/>
            </w:tcBorders>
          </w:tcPr>
          <w:p>
            <w:pPr>
              <w:spacing w:after="0"/>
              <w:rPr>
                <w:sz w:val="12"/>
                <w:szCs w:val="12"/>
                <w:color w:val="auto"/>
              </w:rPr>
            </w:pPr>
          </w:p>
        </w:tc>
        <w:tc>
          <w:tcPr>
            <w:tcW w:w="2920" w:type="dxa"/>
            <w:vAlign w:val="bottom"/>
            <w:tcBorders>
              <w:bottom w:val="single" w:sz="8" w:color="auto"/>
              <w:right w:val="single" w:sz="8" w:color="auto"/>
            </w:tcBorders>
          </w:tcPr>
          <w:p>
            <w:pPr>
              <w:spacing w:after="0"/>
              <w:rPr>
                <w:sz w:val="12"/>
                <w:szCs w:val="12"/>
                <w:color w:val="auto"/>
              </w:rPr>
            </w:pPr>
          </w:p>
        </w:tc>
        <w:tc>
          <w:tcPr>
            <w:tcW w:w="5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0" w:right="560" w:hanging="140"/>
        <w:spacing w:after="0" w:line="318" w:lineRule="auto"/>
        <w:rPr>
          <w:sz w:val="20"/>
          <w:szCs w:val="20"/>
          <w:color w:val="auto"/>
        </w:rPr>
      </w:pPr>
      <w:r>
        <w:rPr>
          <w:rFonts w:ascii="Arial" w:cs="Arial" w:eastAsia="Arial" w:hAnsi="Arial"/>
          <w:sz w:val="18"/>
          <w:szCs w:val="18"/>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288" w:lineRule="exact"/>
        <w:rPr>
          <w:sz w:val="20"/>
          <w:szCs w:val="20"/>
          <w:color w:val="auto"/>
        </w:rPr>
      </w:pPr>
    </w:p>
    <w:p>
      <w:pPr>
        <w:jc w:val="both"/>
        <w:ind w:right="220"/>
        <w:spacing w:after="0" w:line="298" w:lineRule="auto"/>
        <w:rPr>
          <w:sz w:val="20"/>
          <w:szCs w:val="20"/>
          <w:color w:val="auto"/>
        </w:rPr>
      </w:pPr>
      <w:r>
        <w:rPr>
          <w:rFonts w:ascii="Arial" w:cs="Arial" w:eastAsia="Arial" w:hAnsi="Arial"/>
          <w:sz w:val="19"/>
          <w:szCs w:val="19"/>
          <w:color w:val="auto"/>
        </w:rPr>
        <w:t>Service used to determine eligibility for Normal or Early Retirement means “Continuous Service” as determined under the RTX Savings Plan. The calculation to determine Early Retirement will include partial years, rounded down to the nearest full month.</w:t>
      </w:r>
    </w:p>
    <w:p>
      <w:pPr>
        <w:spacing w:after="0" w:line="119" w:lineRule="exact"/>
        <w:rPr>
          <w:sz w:val="20"/>
          <w:szCs w:val="20"/>
          <w:color w:val="auto"/>
        </w:rPr>
      </w:pPr>
    </w:p>
    <w:p>
      <w:pPr>
        <w:ind w:right="600"/>
        <w:spacing w:after="0" w:line="271"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140"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Options will be forfeited as of the Termination Date regardless of the Participant’s Retirement eligibility. In addition, awards may be forfeited and the value realized from previously exercised Options may be subject to repayment in the event of termination for Cause or certain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1414" w:right="31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221E1F"/>
        </w:rPr>
        <w:t xml:space="preserve">occurrences (see “Forfeiture of Award and Repayment of Realized Gains” and </w:t>
      </w:r>
      <w:r>
        <w:rPr>
          <w:rFonts w:ascii="Arial" w:cs="Arial" w:eastAsia="Arial" w:hAnsi="Arial"/>
          <w:sz w:val="20"/>
          <w:szCs w:val="20"/>
          <w:color w:val="000000"/>
        </w:rPr>
        <w:t>“Company Compliance Policies”</w:t>
      </w:r>
      <w:r>
        <w:rPr>
          <w:rFonts w:ascii="Arial" w:cs="Arial" w:eastAsia="Arial" w:hAnsi="Arial"/>
          <w:sz w:val="20"/>
          <w:szCs w:val="20"/>
          <w:color w:val="221E1F"/>
        </w:rPr>
        <w:t xml:space="preserve"> below).</w:t>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Options held for at least one year as of the Termination Date will receive pro-rata vesting treatment, subject to the Participant providing the Company with a release of claims against the Company in a form and manner satisfactory to the Company. The pro-rata vesting of an </w:t>
      </w:r>
      <w:r>
        <w:rPr>
          <w:rFonts w:ascii="Arial" w:cs="Arial" w:eastAsia="Arial" w:hAnsi="Arial"/>
          <w:sz w:val="20"/>
          <w:szCs w:val="20"/>
          <w:color w:val="000000"/>
        </w:rPr>
        <w:t>Option</w:t>
      </w:r>
      <w:r>
        <w:rPr>
          <w:rFonts w:ascii="Arial" w:cs="Arial" w:eastAsia="Arial" w:hAnsi="Arial"/>
          <w:sz w:val="20"/>
          <w:szCs w:val="20"/>
          <w:color w:val="221E1F"/>
        </w:rPr>
        <w:t xml:space="preserve"> Award held for at least one year will be based on the number of months worked during the vesting period, including partial months, relative to the full vesting period. Options not vested under this pro-rata vesting formula will be forfeited as of the Termination Date.</w:t>
      </w:r>
    </w:p>
    <w:p>
      <w:pPr>
        <w:spacing w:after="0" w:line="175" w:lineRule="exact"/>
        <w:rPr>
          <w:sz w:val="20"/>
          <w:szCs w:val="20"/>
          <w:color w:val="auto"/>
        </w:rPr>
      </w:pPr>
    </w:p>
    <w:p>
      <w:pPr>
        <w:ind w:right="240"/>
        <w:spacing w:after="0"/>
        <w:rPr>
          <w:sz w:val="20"/>
          <w:szCs w:val="20"/>
          <w:color w:val="auto"/>
        </w:rPr>
      </w:pPr>
      <w:r>
        <w:rPr>
          <w:rFonts w:ascii="Arial" w:cs="Arial" w:eastAsia="Arial" w:hAnsi="Arial"/>
          <w:sz w:val="20"/>
          <w:szCs w:val="20"/>
          <w:color w:val="221E1F"/>
        </w:rPr>
        <w:t>Upon involuntary termination for reasons other than Cause, vested Options may be exercised for one (1) year following the Termination Date or until the expiration of the Option, whichever is earlier. Unexercised Options will expire without value at the close of the NYSE on the first anniversary of the Termination Date, or the expiration date, whichever comes first. In the event that the date falls on a weekend or market holiday, the Options will be cancelled at the end of the last trading day prior to such date.</w:t>
      </w:r>
    </w:p>
    <w:p>
      <w:pPr>
        <w:spacing w:after="0" w:line="173"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169"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 or its delegate.</w:t>
      </w:r>
    </w:p>
    <w:p>
      <w:pPr>
        <w:spacing w:after="0" w:line="169" w:lineRule="exact"/>
        <w:rPr>
          <w:sz w:val="20"/>
          <w:szCs w:val="20"/>
          <w:color w:val="auto"/>
        </w:rPr>
      </w:pPr>
    </w:p>
    <w:p>
      <w:pPr>
        <w:jc w:val="both"/>
        <w:ind w:right="680"/>
        <w:spacing w:after="0" w:line="248" w:lineRule="auto"/>
        <w:rPr>
          <w:sz w:val="20"/>
          <w:szCs w:val="20"/>
          <w:color w:val="auto"/>
        </w:rPr>
      </w:pPr>
      <w:r>
        <w:rPr>
          <w:rFonts w:ascii="Arial" w:cs="Arial" w:eastAsia="Arial" w:hAnsi="Arial"/>
          <w:sz w:val="20"/>
          <w:szCs w:val="20"/>
          <w:color w:val="auto"/>
        </w:rPr>
        <w:t xml:space="preserve">Retirement eligible Participants will vest in accordance with the Retirement provisions set forth above. Change-in-Control Terminations are subject to vesting treatment as set forth in the Change-in-Control provisions below. </w:t>
      </w:r>
      <w:r>
        <w:rPr>
          <w:rFonts w:ascii="Arial" w:cs="Arial" w:eastAsia="Arial" w:hAnsi="Arial"/>
          <w:sz w:val="20"/>
          <w:szCs w:val="20"/>
          <w:color w:val="221E1F"/>
        </w:rPr>
        <w:t>A Participant who is</w:t>
      </w:r>
      <w:r>
        <w:rPr>
          <w:rFonts w:ascii="Arial" w:cs="Arial" w:eastAsia="Arial" w:hAnsi="Arial"/>
          <w:sz w:val="20"/>
          <w:szCs w:val="20"/>
          <w:color w:val="auto"/>
        </w:rPr>
        <w:t xml:space="preserve"> </w:t>
      </w:r>
      <w:r>
        <w:rPr>
          <w:rFonts w:ascii="Arial" w:cs="Arial" w:eastAsia="Arial" w:hAnsi="Arial"/>
          <w:sz w:val="20"/>
          <w:szCs w:val="20"/>
          <w:color w:val="221E1F"/>
        </w:rPr>
        <w:t>involuntarily terminated for Cause is not eligible for pro-rata vesting of Awards.</w:t>
      </w:r>
    </w:p>
    <w:p>
      <w:pPr>
        <w:spacing w:after="0" w:line="163"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prior to the vesting date is not entitled to pro-rata vesting and will forfeit all unvested Options. Vested Options may be exercised for up to ninety (90) days from the Termination Date or until the expiration of the Option (if earlier). Unexercised Options will expire without value at the close of the NYSE on the ninetieth (90</w:t>
      </w:r>
      <w:r>
        <w:rPr>
          <w:rFonts w:ascii="Arial" w:cs="Arial" w:eastAsia="Arial" w:hAnsi="Arial"/>
          <w:sz w:val="25"/>
          <w:szCs w:val="25"/>
          <w:color w:val="221E1F"/>
          <w:vertAlign w:val="superscript"/>
        </w:rPr>
        <w:t>th</w:t>
      </w:r>
      <w:r>
        <w:rPr>
          <w:rFonts w:ascii="Arial" w:cs="Arial" w:eastAsia="Arial" w:hAnsi="Arial"/>
          <w:sz w:val="20"/>
          <w:szCs w:val="20"/>
          <w:color w:val="221E1F"/>
        </w:rPr>
        <w:t>) day following the Termination Date, or the expiration date, whichever comes first. In the event that the date falls on a weekend or market holiday, the Options will be cancelled at the end of the last trading day prior to the 90</w:t>
      </w:r>
      <w:r>
        <w:rPr>
          <w:rFonts w:ascii="Arial" w:cs="Arial" w:eastAsia="Arial" w:hAnsi="Arial"/>
          <w:sz w:val="25"/>
          <w:szCs w:val="25"/>
          <w:color w:val="221E1F"/>
          <w:vertAlign w:val="superscript"/>
        </w:rPr>
        <w:t>th</w:t>
      </w:r>
      <w:r>
        <w:rPr>
          <w:rFonts w:ascii="Arial" w:cs="Arial" w:eastAsia="Arial" w:hAnsi="Arial"/>
          <w:sz w:val="20"/>
          <w:szCs w:val="20"/>
          <w:color w:val="221E1F"/>
        </w:rPr>
        <w:t xml:space="preserve"> day.</w:t>
      </w:r>
    </w:p>
    <w:p>
      <w:pPr>
        <w:spacing w:after="0" w:line="101"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vested Options may be exercised for up to three (3) years</w:t>
      </w:r>
      <w:r>
        <w:rPr>
          <w:rFonts w:ascii="Arial" w:cs="Arial" w:eastAsia="Arial" w:hAnsi="Arial"/>
          <w:sz w:val="20"/>
          <w:szCs w:val="20"/>
          <w:b w:val="1"/>
          <w:bCs w:val="1"/>
          <w:color w:val="221E1F"/>
        </w:rPr>
        <w:t xml:space="preserve"> </w:t>
      </w:r>
      <w:r>
        <w:rPr>
          <w:rFonts w:ascii="Arial" w:cs="Arial" w:eastAsia="Arial" w:hAnsi="Arial"/>
          <w:sz w:val="20"/>
          <w:szCs w:val="20"/>
          <w:color w:val="221E1F"/>
        </w:rPr>
        <w:t>from the Termination Date (or until the expiration of the Option, if earlier). While a Participant remains disabled under a Company sponsored long-term disability plan, unvested Options will remain eligible to vest on the earlier of (i) the vesting date specified in the Award Agreement; or (ii) 29 months following the date a Participant incurs a Disability and may then be exercised for three (3) years following the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Authorized Leave of Absence (excluding Personal Leave). </w:t>
      </w:r>
      <w:r>
        <w:rPr>
          <w:rFonts w:ascii="Arial" w:cs="Arial" w:eastAsia="Arial" w:hAnsi="Arial"/>
          <w:sz w:val="20"/>
          <w:szCs w:val="20"/>
          <w:color w:val="auto"/>
        </w:rPr>
        <w:t>If a</w:t>
      </w:r>
      <w:r>
        <w:rPr>
          <w:rFonts w:ascii="Arial" w:cs="Arial" w:eastAsia="Arial" w:hAnsi="Arial"/>
          <w:sz w:val="20"/>
          <w:szCs w:val="20"/>
          <w:b w:val="1"/>
          <w:bCs w:val="1"/>
          <w:color w:val="auto"/>
        </w:rPr>
        <w:t xml:space="preserve"> </w:t>
      </w:r>
      <w:r>
        <w:rPr>
          <w:rFonts w:ascii="Arial" w:cs="Arial" w:eastAsia="Arial" w:hAnsi="Arial"/>
          <w:sz w:val="20"/>
          <w:szCs w:val="20"/>
          <w:color w:val="221E1F"/>
        </w:rPr>
        <w:t>Participant is on a Company authorized leave of absence</w:t>
      </w:r>
    </w:p>
    <w:p>
      <w:pPr>
        <w:spacing w:after="0" w:line="6"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221E1F"/>
        </w:rPr>
        <w:t>(</w:t>
      </w:r>
      <w:r>
        <w:rPr>
          <w:rFonts w:ascii="Arial" w:cs="Arial" w:eastAsia="Arial" w:hAnsi="Arial"/>
          <w:sz w:val="20"/>
          <w:szCs w:val="20"/>
          <w:color w:val="000000"/>
        </w:rPr>
        <w:t>FMLA, Medical, Military, Parental leave, etc.</w:t>
      </w:r>
      <w:r>
        <w:rPr>
          <w:rFonts w:ascii="Arial" w:cs="Arial" w:eastAsia="Arial" w:hAnsi="Arial"/>
          <w:sz w:val="20"/>
          <w:szCs w:val="20"/>
          <w:color w:val="221E1F"/>
        </w:rPr>
        <w:t>) that is not associated with a Termination of Service, unvested Options will remain eligible to vest during the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14" w:right="33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221E1F"/>
        </w:rPr>
        <w:t>leave, subject to the Participant’s continued employment with the Company through the vesting date</w:t>
      </w:r>
      <w:r>
        <w:rPr>
          <w:rFonts w:ascii="Arial" w:cs="Arial" w:eastAsia="Arial" w:hAnsi="Arial"/>
          <w:sz w:val="20"/>
          <w:szCs w:val="20"/>
          <w:color w:val="000000"/>
        </w:rPr>
        <w:t>.</w:t>
      </w:r>
    </w:p>
    <w:p>
      <w:pPr>
        <w:spacing w:after="0" w:line="20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 xml:space="preserve">Personal Leave of Absence. </w:t>
      </w:r>
      <w:r>
        <w:rPr>
          <w:rFonts w:ascii="Arial" w:cs="Arial" w:eastAsia="Arial" w:hAnsi="Arial"/>
          <w:sz w:val="20"/>
          <w:szCs w:val="20"/>
          <w:color w:val="auto"/>
        </w:rPr>
        <w:t>A personal leave of absence is an unpaid leave of absence not otherwise covered under other</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leave policies. A P</w:t>
      </w:r>
      <w:r>
        <w:rPr>
          <w:rFonts w:ascii="Arial" w:cs="Arial" w:eastAsia="Arial" w:hAnsi="Arial"/>
          <w:sz w:val="20"/>
          <w:szCs w:val="20"/>
          <w:color w:val="221E1F"/>
        </w:rPr>
        <w:t>articipant who is on an extended personal leave of absence during the vesting period (&gt; six (6)</w:t>
      </w:r>
      <w:r>
        <w:rPr>
          <w:rFonts w:ascii="Arial" w:cs="Arial" w:eastAsia="Arial" w:hAnsi="Arial"/>
          <w:sz w:val="20"/>
          <w:szCs w:val="20"/>
          <w:color w:val="auto"/>
        </w:rPr>
        <w:t xml:space="preserve"> </w:t>
      </w:r>
      <w:r>
        <w:rPr>
          <w:rFonts w:ascii="Arial" w:cs="Arial" w:eastAsia="Arial" w:hAnsi="Arial"/>
          <w:sz w:val="20"/>
          <w:szCs w:val="20"/>
          <w:color w:val="221E1F"/>
        </w:rPr>
        <w:t xml:space="preserve">months) and who has not returned to active service with the Company as of the vesting date will forfeit their Stock Option award. The participant may dispute the forfeiture by submitting a detailed exception request to </w:t>
      </w:r>
      <w:r>
        <w:rPr>
          <w:rFonts w:ascii="Arial" w:cs="Arial" w:eastAsia="Arial" w:hAnsi="Arial"/>
          <w:sz w:val="20"/>
          <w:szCs w:val="20"/>
          <w:color w:val="000000"/>
        </w:rPr>
        <w:t>the RTX Stock Plan Administrator at:</w:t>
      </w:r>
      <w:r>
        <w:rPr>
          <w:rFonts w:ascii="Arial" w:cs="Arial" w:eastAsia="Arial" w:hAnsi="Arial"/>
          <w:sz w:val="20"/>
          <w:szCs w:val="20"/>
          <w:color w:val="221E1F"/>
        </w:rPr>
        <w:t xml:space="preserve"> </w:t>
      </w:r>
      <w:r>
        <w:rPr>
          <w:rFonts w:ascii="Arial" w:cs="Arial" w:eastAsia="Arial" w:hAnsi="Arial"/>
          <w:sz w:val="20"/>
          <w:szCs w:val="20"/>
          <w:u w:val="single" w:color="auto"/>
          <w:color w:val="0000FF"/>
        </w:rPr>
        <w:t>rtxstockadmin@rtx.com</w:t>
      </w:r>
      <w:r>
        <w:rPr>
          <w:rFonts w:ascii="Arial" w:cs="Arial" w:eastAsia="Arial" w:hAnsi="Arial"/>
          <w:sz w:val="20"/>
          <w:szCs w:val="20"/>
          <w:color w:val="221E1F"/>
        </w:rPr>
        <w:t>. The decision as to whether to grant an exception will be based on a review of the facts and</w:t>
      </w:r>
      <w:r>
        <w:rPr>
          <w:rFonts w:ascii="Arial" w:cs="Arial" w:eastAsia="Arial" w:hAnsi="Arial"/>
          <w:sz w:val="20"/>
          <w:szCs w:val="20"/>
          <w:color w:val="0000FF"/>
        </w:rPr>
        <w:t xml:space="preserve"> </w:t>
      </w:r>
      <w:r>
        <w:rPr>
          <w:rFonts w:ascii="Arial" w:cs="Arial" w:eastAsia="Arial" w:hAnsi="Arial"/>
          <w:sz w:val="20"/>
          <w:szCs w:val="20"/>
          <w:color w:val="221E1F"/>
        </w:rPr>
        <w:t>circumstances of the leave and whether or not the Company anticipates the Participant to return to their role after the leave period is over.</w:t>
      </w:r>
    </w:p>
    <w:p>
      <w:pPr>
        <w:spacing w:after="0" w:line="172"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Options will vest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date of death and become exercisable. A Participant’s estate will have three (3) years from the date of death (or until the expiration of the Options, if earlier) to exercise all outstanding Options, provided however, that if an Option expires prior to the expiration of the three-year extension period, the Option will be deemed to be exercised by the Participant’s estate as of the Option expiration date with net proceeds (where applicable) held for distribution to the estate.</w:t>
      </w:r>
    </w:p>
    <w:p>
      <w:pPr>
        <w:spacing w:after="0" w:line="170"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221E1F"/>
        </w:rPr>
        <w:t>Different tax rules may apply when the estate or heir exercises the deceased Participant’s Options. A personal tax or financial advisor should be consulted under this scenario.</w:t>
      </w:r>
    </w:p>
    <w:p>
      <w:pPr>
        <w:spacing w:after="0" w:line="140" w:lineRule="exact"/>
        <w:rPr>
          <w:sz w:val="20"/>
          <w:szCs w:val="20"/>
          <w:color w:val="auto"/>
        </w:rPr>
      </w:pPr>
    </w:p>
    <w:p>
      <w:pPr>
        <w:ind w:right="380"/>
        <w:spacing w:after="0" w:line="241" w:lineRule="auto"/>
        <w:rPr>
          <w:sz w:val="20"/>
          <w:szCs w:val="20"/>
          <w:color w:val="auto"/>
        </w:rPr>
      </w:pPr>
      <w:r>
        <w:rPr>
          <w:rFonts w:ascii="Arial" w:cs="Arial" w:eastAsia="Arial" w:hAnsi="Arial"/>
          <w:sz w:val="20"/>
          <w:szCs w:val="20"/>
          <w:b w:val="1"/>
          <w:bCs w:val="1"/>
          <w:color w:val="auto"/>
        </w:rPr>
        <w:t xml:space="preserve">Rehire. </w:t>
      </w:r>
      <w:r>
        <w:rPr>
          <w:rFonts w:ascii="Arial" w:cs="Arial" w:eastAsia="Arial" w:hAnsi="Arial"/>
          <w:sz w:val="20"/>
          <w:szCs w:val="20"/>
          <w:color w:val="221E1F"/>
        </w:rPr>
        <w:t>If the Company rehires a Participant within 90 days following the Participant’s Termination Date, unexercised vested</w:t>
      </w:r>
      <w:r>
        <w:rPr>
          <w:rFonts w:ascii="Arial" w:cs="Arial" w:eastAsia="Arial" w:hAnsi="Arial"/>
          <w:sz w:val="20"/>
          <w:szCs w:val="20"/>
          <w:b w:val="1"/>
          <w:bCs w:val="1"/>
          <w:color w:val="auto"/>
        </w:rPr>
        <w:t xml:space="preserve"> </w:t>
      </w:r>
      <w:r>
        <w:rPr>
          <w:rFonts w:ascii="Arial" w:cs="Arial" w:eastAsia="Arial" w:hAnsi="Arial"/>
          <w:sz w:val="20"/>
          <w:szCs w:val="20"/>
          <w:color w:val="221E1F"/>
        </w:rPr>
        <w:t>Options and unvested Options that were forfeited and cancelled because of such termination will be reinstated. Unexercised Options that received accelerated vesting at termination will be subject to the original vesting schedule upon rehire within 90 days following the Termination Date. If the Company rehires a Participant after 90 days following the Termination Date, the Options will remain forfeited and cancelled.</w:t>
      </w:r>
    </w:p>
    <w:p>
      <w:pPr>
        <w:spacing w:after="0" w:line="168"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reasons other than for Cause, or due to the Participant’s voluntary termination for “Good Reason,” in each case, within 24 months following a Change-in-Control in accordance with Section 10(d) of the LTIP (such Termination of Service, a “CIC Termination”), then all unvested </w:t>
      </w:r>
      <w:r>
        <w:rPr>
          <w:rFonts w:ascii="Arial" w:cs="Arial" w:eastAsia="Arial" w:hAnsi="Arial"/>
          <w:sz w:val="20"/>
          <w:szCs w:val="20"/>
          <w:color w:val="221E1F"/>
        </w:rPr>
        <w:t>Options</w:t>
      </w:r>
      <w:r>
        <w:rPr>
          <w:rFonts w:ascii="Arial" w:cs="Arial" w:eastAsia="Arial" w:hAnsi="Arial"/>
          <w:sz w:val="20"/>
          <w:szCs w:val="20"/>
          <w:color w:val="auto"/>
        </w:rPr>
        <w:t xml:space="preserve"> will vest and become exercisable as of the Termination Date and all vested </w:t>
      </w:r>
      <w:r>
        <w:rPr>
          <w:rFonts w:ascii="Arial" w:cs="Arial" w:eastAsia="Arial" w:hAnsi="Arial"/>
          <w:sz w:val="20"/>
          <w:szCs w:val="20"/>
          <w:color w:val="221E1F"/>
        </w:rPr>
        <w:t>Options</w:t>
      </w:r>
      <w:r>
        <w:rPr>
          <w:rFonts w:ascii="Arial" w:cs="Arial" w:eastAsia="Arial" w:hAnsi="Arial"/>
          <w:sz w:val="20"/>
          <w:szCs w:val="20"/>
          <w:color w:val="auto"/>
        </w:rPr>
        <w:t xml:space="preserve"> will be exercisable until the third anniversary of the Termination Date (or until the expiration of the </w:t>
      </w:r>
      <w:r>
        <w:rPr>
          <w:rFonts w:ascii="Arial" w:cs="Arial" w:eastAsia="Arial" w:hAnsi="Arial"/>
          <w:sz w:val="20"/>
          <w:szCs w:val="20"/>
          <w:color w:val="221E1F"/>
        </w:rPr>
        <w:t>Option</w:t>
      </w:r>
      <w:r>
        <w:rPr>
          <w:rFonts w:ascii="Arial" w:cs="Arial" w:eastAsia="Arial" w:hAnsi="Arial"/>
          <w:sz w:val="20"/>
          <w:szCs w:val="20"/>
          <w:color w:val="auto"/>
        </w:rPr>
        <w:t>, if earlier).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04" w:lineRule="exact"/>
        <w:rPr>
          <w:sz w:val="20"/>
          <w:szCs w:val="20"/>
          <w:color w:val="auto"/>
        </w:rPr>
      </w:pPr>
    </w:p>
    <w:p>
      <w:pPr>
        <w:ind w:right="120"/>
        <w:spacing w:after="0"/>
        <w:rPr>
          <w:sz w:val="20"/>
          <w:szCs w:val="20"/>
          <w:color w:val="auto"/>
        </w:rPr>
      </w:pPr>
      <w:r>
        <w:rPr>
          <w:rFonts w:ascii="Arial" w:cs="Arial" w:eastAsia="Arial" w:hAnsi="Arial"/>
          <w:sz w:val="20"/>
          <w:szCs w:val="20"/>
          <w:color w:val="221E1F"/>
        </w:rPr>
        <w:t xml:space="preserve">Option Awards, including Common Stock delivered for exercised Options, are subject to the applicable RTX Corporation Clawback Policy, as amended from time to time, available at </w:t>
      </w:r>
      <w:r>
        <w:rPr>
          <w:rFonts w:ascii="Arial" w:cs="Arial" w:eastAsia="Arial" w:hAnsi="Arial"/>
          <w:sz w:val="20"/>
          <w:szCs w:val="20"/>
          <w:u w:val="single" w:color="auto"/>
          <w:color w:val="0000FF"/>
        </w:rPr>
        <w:t>www.rtx.com</w:t>
      </w:r>
      <w:r>
        <w:rPr>
          <w:rFonts w:ascii="Arial" w:cs="Arial" w:eastAsia="Arial" w:hAnsi="Arial"/>
          <w:sz w:val="20"/>
          <w:szCs w:val="20"/>
          <w:color w:val="221E1F"/>
        </w:rPr>
        <w:t>. Options, whether or not vested, will be immediately forfeited and a Participant may be obligated to repay to the Company the value realized from the prior exercise of Options upon the occurrence of any of the following events:</w:t>
      </w:r>
    </w:p>
    <w:p>
      <w:pPr>
        <w:spacing w:after="0" w:line="187"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Termination for Cause (as defined in the LTIP) or for violation of the RTX Code of Conduct;</w:t>
      </w:r>
    </w:p>
    <w:p>
      <w:pPr>
        <w:spacing w:after="0" w:line="202" w:lineRule="exact"/>
        <w:rPr>
          <w:rFonts w:ascii="Arial" w:cs="Arial" w:eastAsia="Arial" w:hAnsi="Arial"/>
          <w:sz w:val="20"/>
          <w:szCs w:val="20"/>
          <w:color w:val="auto"/>
        </w:rPr>
      </w:pPr>
    </w:p>
    <w:p>
      <w:pPr>
        <w:ind w:left="420" w:right="400" w:hanging="412"/>
        <w:spacing w:after="0" w:line="271" w:lineRule="auto"/>
        <w:tabs>
          <w:tab w:leader="none" w:pos="41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Within three-years following a Participant’s Termination Date, the Committee determines that the Participant engaged in conduct that could have constituted the basis for a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14" w:right="339" w:bottom="1440" w:gutter="0" w:footer="0" w:header="0"/>
        </w:sectPr>
      </w:pPr>
    </w:p>
    <w:bookmarkStart w:id="90" w:name="page91"/>
    <w:bookmarkEnd w:id="90"/>
    <w:p>
      <w:pPr>
        <w:ind w:left="400" w:hanging="392"/>
        <w:spacing w:after="0"/>
        <w:tabs>
          <w:tab w:leader="none" w:pos="4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Within twenty-four months following the Termination Date, the Participant:</w:t>
      </w:r>
    </w:p>
    <w:p>
      <w:pPr>
        <w:spacing w:after="0" w:line="202" w:lineRule="exact"/>
        <w:rPr>
          <w:rFonts w:ascii="Arial" w:cs="Arial" w:eastAsia="Arial" w:hAnsi="Arial"/>
          <w:sz w:val="20"/>
          <w:szCs w:val="20"/>
          <w:color w:val="auto"/>
        </w:rPr>
      </w:pPr>
    </w:p>
    <w:p>
      <w:pPr>
        <w:ind w:left="1140" w:right="100" w:hanging="484"/>
        <w:spacing w:after="0" w:line="271" w:lineRule="auto"/>
        <w:tabs>
          <w:tab w:leader="none" w:pos="1134" w:val="left"/>
        </w:tabs>
        <w:numPr>
          <w:ilvl w:val="2"/>
          <w:numId w:val="34"/>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42" w:lineRule="exact"/>
        <w:rPr>
          <w:rFonts w:ascii="Arial" w:cs="Arial" w:eastAsia="Arial" w:hAnsi="Arial"/>
          <w:sz w:val="20"/>
          <w:szCs w:val="20"/>
          <w:color w:val="auto"/>
        </w:rPr>
      </w:pPr>
    </w:p>
    <w:p>
      <w:pPr>
        <w:ind w:left="1140" w:right="60" w:hanging="484"/>
        <w:spacing w:after="0" w:line="271" w:lineRule="auto"/>
        <w:tabs>
          <w:tab w:leader="none" w:pos="1134" w:val="left"/>
        </w:tabs>
        <w:numPr>
          <w:ilvl w:val="2"/>
          <w:numId w:val="34"/>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w:t>
      </w:r>
    </w:p>
    <w:p>
      <w:pPr>
        <w:spacing w:after="0" w:line="142" w:lineRule="exact"/>
        <w:rPr>
          <w:rFonts w:ascii="Arial" w:cs="Arial" w:eastAsia="Arial" w:hAnsi="Arial"/>
          <w:sz w:val="20"/>
          <w:szCs w:val="20"/>
          <w:color w:val="auto"/>
        </w:rPr>
      </w:pPr>
    </w:p>
    <w:p>
      <w:pPr>
        <w:ind w:left="400" w:hanging="392"/>
        <w:spacing w:after="0"/>
        <w:tabs>
          <w:tab w:leader="none" w:pos="4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restatement of financial results attributable to a Participant’s actions, whether intentional or negligent.</w:t>
      </w:r>
    </w:p>
    <w:p>
      <w:pPr>
        <w:spacing w:after="0" w:line="215" w:lineRule="exact"/>
        <w:rPr>
          <w:rFonts w:ascii="Arial" w:cs="Arial" w:eastAsia="Arial" w:hAnsi="Arial"/>
          <w:sz w:val="20"/>
          <w:szCs w:val="20"/>
          <w:color w:val="auto"/>
        </w:rPr>
      </w:pPr>
    </w:p>
    <w:p>
      <w:pPr>
        <w:ind w:left="420" w:right="80" w:hanging="412"/>
        <w:spacing w:after="0" w:line="248" w:lineRule="auto"/>
        <w:tabs>
          <w:tab w:leader="none" w:pos="408"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Except where prohibited by law, including the state of California, at any time during the twelve-month period following the Termination Date, the Participant becomes employed by, consults for, or otherwise renders services to any business entity or person: (A) engaged in activities that compete with the Corporation or the business unit that employed the Participant; or</w:t>
      </w:r>
    </w:p>
    <w:p>
      <w:pPr>
        <w:spacing w:after="0" w:line="2" w:lineRule="exact"/>
        <w:rPr>
          <w:rFonts w:ascii="Arial" w:cs="Arial" w:eastAsia="Arial" w:hAnsi="Arial"/>
          <w:sz w:val="19"/>
          <w:szCs w:val="19"/>
          <w:color w:val="auto"/>
        </w:rPr>
      </w:pPr>
    </w:p>
    <w:p>
      <w:pPr>
        <w:ind w:left="420" w:right="280" w:hanging="7"/>
        <w:spacing w:after="0" w:line="234" w:lineRule="auto"/>
        <w:tabs>
          <w:tab w:leader="none" w:pos="739"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02" w:lineRule="exact"/>
        <w:rPr>
          <w:rFonts w:ascii="Arial" w:cs="Arial" w:eastAsia="Arial" w:hAnsi="Arial"/>
          <w:sz w:val="20"/>
          <w:szCs w:val="20"/>
          <w:color w:val="auto"/>
        </w:rPr>
      </w:pPr>
    </w:p>
    <w:p>
      <w:pPr>
        <w:ind w:left="420" w:right="600" w:hanging="412"/>
        <w:spacing w:after="0" w:line="262" w:lineRule="auto"/>
        <w:tabs>
          <w:tab w:leader="none" w:pos="409" w:val="left"/>
        </w:tabs>
        <w:numPr>
          <w:ilvl w:val="0"/>
          <w:numId w:val="34"/>
        </w:numPr>
        <w:rPr>
          <w:rFonts w:ascii="Arial" w:cs="Arial" w:eastAsia="Arial" w:hAnsi="Arial"/>
          <w:sz w:val="22"/>
          <w:szCs w:val="22"/>
          <w:color w:val="auto"/>
        </w:rPr>
      </w:pPr>
      <w:r>
        <w:rPr>
          <w:rFonts w:ascii="Arial" w:cs="Arial" w:eastAsia="Arial" w:hAnsi="Arial"/>
          <w:sz w:val="20"/>
          <w:szCs w:val="20"/>
          <w:color w:val="221E1F"/>
        </w:rPr>
        <w:t>Negligent conduct injurious to the Company, including negligent supervision of a subordinate whose action requires a restatement of financial results, or other significant harm to the Company as determined by the Committee; or</w:t>
      </w:r>
    </w:p>
    <w:p>
      <w:pPr>
        <w:spacing w:after="0" w:line="201" w:lineRule="exact"/>
        <w:rPr>
          <w:rFonts w:ascii="Arial" w:cs="Arial" w:eastAsia="Arial" w:hAnsi="Arial"/>
          <w:sz w:val="22"/>
          <w:szCs w:val="22"/>
          <w:color w:val="auto"/>
        </w:rPr>
      </w:pPr>
    </w:p>
    <w:p>
      <w:pPr>
        <w:ind w:left="400" w:hanging="392"/>
        <w:spacing w:after="0"/>
        <w:tabs>
          <w:tab w:leader="none" w:pos="400" w:val="left"/>
        </w:tabs>
        <w:numPr>
          <w:ilvl w:val="0"/>
          <w:numId w:val="34"/>
        </w:numPr>
        <w:rPr>
          <w:rFonts w:ascii="Arial" w:cs="Arial" w:eastAsia="Arial" w:hAnsi="Arial"/>
          <w:sz w:val="22"/>
          <w:szCs w:val="22"/>
          <w:color w:val="auto"/>
        </w:rPr>
      </w:pPr>
      <w:r>
        <w:rPr>
          <w:rFonts w:ascii="Arial" w:cs="Arial" w:eastAsia="Arial" w:hAnsi="Arial"/>
          <w:sz w:val="20"/>
          <w:szCs w:val="20"/>
          <w:color w:val="221E1F"/>
        </w:rPr>
        <w:t>A Participant’s misappropriation of RTX Intellectual Property or violation of his/her Intellectual Property (IP) Agreement.</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20"/>
          <w:szCs w:val="20"/>
          <w:color w:val="221E1F"/>
        </w:rPr>
        <w:t>In addition, the Committee reserves the right to require repayment of all or any portion of an Option Award under item (iv) above, without regard to whether a restatement is attributable to the Participant’s actions, as appropriate and determined at the Committee’s sole discretion.</w:t>
      </w:r>
    </w:p>
    <w:p>
      <w:pPr>
        <w:spacing w:after="0" w:line="165"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color w:val="221E1F"/>
        </w:rPr>
        <w:t>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available 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FF"/>
        </w:rPr>
        <w:t xml:space="preserve"> </w:t>
      </w:r>
      <w:r>
        <w:rPr>
          <w:rFonts w:ascii="Arial" w:cs="Arial" w:eastAsia="Arial" w:hAnsi="Arial"/>
          <w:sz w:val="20"/>
          <w:szCs w:val="20"/>
          <w:color w:val="000000"/>
        </w:rPr>
        <w:t>and the applicable RTX Clawback Policy, available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www.rtx.com</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-20320</wp:posOffset>
            </wp:positionV>
            <wp:extent cx="34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14"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31" w:lineRule="exact"/>
        <w:rPr>
          <w:sz w:val="20"/>
          <w:szCs w:val="20"/>
          <w:color w:val="auto"/>
        </w:rPr>
      </w:pPr>
    </w:p>
    <w:p>
      <w:pPr>
        <w:jc w:val="both"/>
        <w:ind w:right="400"/>
        <w:spacing w:after="0" w:line="260"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Option Awards may be adjusted as determined by the Committee, in its sole discretion.</w:t>
      </w:r>
    </w:p>
    <w:p>
      <w:pPr>
        <w:spacing w:after="0" w:line="167" w:lineRule="exact"/>
        <w:rPr>
          <w:sz w:val="20"/>
          <w:szCs w:val="20"/>
          <w:color w:val="auto"/>
        </w:rPr>
      </w:pPr>
    </w:p>
    <w:p>
      <w:pPr>
        <w:ind w:right="2400"/>
        <w:spacing w:after="0" w:line="257"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FF"/>
        </w:rPr>
        <w: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9"/>
          <w:szCs w:val="19"/>
          <w:color w:val="221E1F"/>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221E1F"/>
        </w:rPr>
        <w:t xml:space="preserve">Further details concerning Change-in-Control are set forth in Section 10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04" w:lineRule="exact"/>
        <w:rPr>
          <w:sz w:val="20"/>
          <w:szCs w:val="20"/>
          <w:color w:val="auto"/>
        </w:rPr>
      </w:pPr>
    </w:p>
    <w:p>
      <w:pPr>
        <w:ind w:right="360"/>
        <w:spacing w:after="0" w:line="256" w:lineRule="auto"/>
        <w:rPr>
          <w:sz w:val="20"/>
          <w:szCs w:val="20"/>
          <w:color w:val="auto"/>
        </w:rPr>
      </w:pPr>
      <w:r>
        <w:rPr>
          <w:rFonts w:ascii="Arial" w:cs="Arial" w:eastAsia="Arial" w:hAnsi="Arial"/>
          <w:sz w:val="19"/>
          <w:szCs w:val="19"/>
          <w:color w:val="221E1F"/>
        </w:rPr>
        <w:t>Option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18"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 Section 16 officer of the Company under Section 16 of the Securities Exchange Act of 1934, as amended, at the time that a taxable event occurs, then the Company’s withholding obligations with respect to such taxable event will be satisfied by the Company withholding shares of Common Stock converted from Options under the Option Award having a value on the date of exercise equal to the amount required to be withheld for tax purposes. The Company shall have the right to deduct directly from any payment or delivery of shares due to a Participant or from a Participant’s regular compensation to effect compliance with all Tax-Related Items, including withholding and reporting with respect to the exercise of any Option. Acceptance of an Award constitutes affirmative consent by a Participant to such reporting and withholding as determined by the Company in its sole discretion.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 date of grant and the</w:t>
      </w:r>
      <w:r>
        <w:rPr>
          <w:rFonts w:ascii="Arial" w:cs="Arial" w:eastAsia="Arial" w:hAnsi="Arial"/>
          <w:sz w:val="20"/>
          <w:szCs w:val="20"/>
          <w:color w:val="221E1F"/>
        </w:rPr>
        <w:t xml:space="preserve"> </w:t>
      </w:r>
      <w:r>
        <w:rPr>
          <w:rFonts w:ascii="Arial" w:cs="Arial" w:eastAsia="Arial" w:hAnsi="Arial"/>
          <w:sz w:val="20"/>
          <w:szCs w:val="20"/>
          <w:color w:val="211F1F"/>
        </w:rPr>
        <w:t xml:space="preserve">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92" w:name="page93"/>
    <w:bookmarkEnd w:id="92"/>
    <w:p>
      <w:pPr>
        <w:ind w:right="140"/>
        <w:spacing w:after="0"/>
        <w:rPr>
          <w:sz w:val="20"/>
          <w:szCs w:val="20"/>
          <w:color w:val="auto"/>
        </w:rPr>
      </w:pPr>
      <w:r>
        <w:rPr>
          <w:rFonts w:ascii="Arial" w:cs="Arial" w:eastAsia="Arial" w:hAnsi="Arial"/>
          <w:sz w:val="20"/>
          <w:szCs w:val="20"/>
          <w:color w:val="221E1F"/>
        </w:rPr>
        <w:t>countries where there is no withholding on account of such Tax-Related Items, Participants must pay the appropriate taxes as required by any country where they are subject to tax. In those instances where the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211F1F"/>
        </w:rPr>
        <w:t>Important information about the U.S. Federal income tax consequences of LTIP Awards can be found in the LTIP Prospectus at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0"/>
          <w:szCs w:val="20"/>
          <w:color w:val="000000"/>
        </w:rPr>
        <w: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04" w:lineRule="exact"/>
        <w:rPr>
          <w:sz w:val="20"/>
          <w:szCs w:val="20"/>
          <w:color w:val="auto"/>
        </w:rPr>
      </w:pPr>
    </w:p>
    <w:p>
      <w:pPr>
        <w:ind w:right="440"/>
        <w:spacing w:after="0" w:line="248" w:lineRule="auto"/>
        <w:rPr>
          <w:sz w:val="20"/>
          <w:szCs w:val="20"/>
          <w:color w:val="auto"/>
        </w:rPr>
      </w:pPr>
      <w:r>
        <w:rPr>
          <w:rFonts w:ascii="Arial" w:cs="Arial" w:eastAsia="Arial" w:hAnsi="Arial"/>
          <w:sz w:val="20"/>
          <w:szCs w:val="20"/>
          <w:color w:val="221E1F"/>
        </w:rPr>
        <w:t xml:space="preserve">No </w:t>
      </w:r>
      <w:r>
        <w:rPr>
          <w:rFonts w:ascii="Arial" w:cs="Arial" w:eastAsia="Arial" w:hAnsi="Arial"/>
          <w:sz w:val="20"/>
          <w:szCs w:val="20"/>
          <w:color w:val="000000"/>
        </w:rPr>
        <w:t>assignment or transfer of any right or interest of a Participant in any</w:t>
      </w:r>
      <w:r>
        <w:rPr>
          <w:rFonts w:ascii="Arial" w:cs="Arial" w:eastAsia="Arial" w:hAnsi="Arial"/>
          <w:sz w:val="20"/>
          <w:szCs w:val="20"/>
          <w:color w:val="221E1F"/>
        </w:rPr>
        <w:t xml:space="preserve"> Option </w:t>
      </w:r>
      <w:r>
        <w:rPr>
          <w:rFonts w:ascii="Arial" w:cs="Arial" w:eastAsia="Arial" w:hAnsi="Arial"/>
          <w:sz w:val="20"/>
          <w:szCs w:val="20"/>
          <w:color w:val="000000"/>
        </w:rPr>
        <w:t>Award, whether voluntary or involuntary, by</w:t>
      </w:r>
      <w:r>
        <w:rPr>
          <w:rFonts w:ascii="Arial" w:cs="Arial" w:eastAsia="Arial" w:hAnsi="Arial"/>
          <w:sz w:val="20"/>
          <w:szCs w:val="20"/>
          <w:color w:val="221E1F"/>
        </w:rPr>
        <w:t xml:space="preserve"> </w:t>
      </w:r>
      <w:r>
        <w:rPr>
          <w:rFonts w:ascii="Arial" w:cs="Arial" w:eastAsia="Arial" w:hAnsi="Arial"/>
          <w:sz w:val="20"/>
          <w:szCs w:val="20"/>
          <w:color w:val="000000"/>
        </w:rPr>
        <w:t xml:space="preserve">operation of law or otherwise, is permitted except by will or the laws of descent and distribution. Any other </w:t>
      </w:r>
      <w:r>
        <w:rPr>
          <w:rFonts w:ascii="Arial" w:cs="Arial" w:eastAsia="Arial" w:hAnsi="Arial"/>
          <w:sz w:val="20"/>
          <w:szCs w:val="20"/>
          <w:color w:val="221E1F"/>
        </w:rPr>
        <w:t>attempt to assign</w:t>
      </w:r>
      <w:r>
        <w:rPr>
          <w:rFonts w:ascii="Arial" w:cs="Arial" w:eastAsia="Arial" w:hAnsi="Arial"/>
          <w:sz w:val="20"/>
          <w:szCs w:val="20"/>
          <w:color w:val="000000"/>
        </w:rPr>
        <w:t xml:space="preserve"> </w:t>
      </w:r>
      <w:r>
        <w:rPr>
          <w:rFonts w:ascii="Arial" w:cs="Arial" w:eastAsia="Arial" w:hAnsi="Arial"/>
          <w:sz w:val="20"/>
          <w:szCs w:val="20"/>
          <w:color w:val="221E1F"/>
        </w:rPr>
        <w:t>such rights or interest shall be void and without force or effect.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04" w:lineRule="exact"/>
        <w:rPr>
          <w:sz w:val="20"/>
          <w:szCs w:val="20"/>
          <w:color w:val="auto"/>
        </w:rPr>
      </w:pPr>
    </w:p>
    <w:p>
      <w:pPr>
        <w:jc w:val="both"/>
        <w:ind w:right="80"/>
        <w:spacing w:after="0"/>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04"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211E1F"/>
        </w:rPr>
        <w:t xml:space="preserve">Nothing in the LTIP or in any </w:t>
      </w:r>
      <w:r>
        <w:rPr>
          <w:rFonts w:ascii="Arial" w:cs="Arial" w:eastAsia="Arial" w:hAnsi="Arial"/>
          <w:sz w:val="20"/>
          <w:szCs w:val="20"/>
          <w:color w:val="221E1F"/>
        </w:rPr>
        <w:t>Option</w:t>
      </w:r>
      <w:r>
        <w:rPr>
          <w:rFonts w:ascii="Arial" w:cs="Arial" w:eastAsia="Arial" w:hAnsi="Arial"/>
          <w:sz w:val="20"/>
          <w:szCs w:val="20"/>
          <w:color w:val="211E1F"/>
        </w:rPr>
        <w:t xml:space="preserve"> Award shall confer upon any Participant the right to continued employment or service for any period of time or affect any right that the Company may have to terminate the employment of any Participant at any time for any reason.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8" w:lineRule="exact"/>
        <w:rPr>
          <w:sz w:val="20"/>
          <w:szCs w:val="20"/>
          <w:color w:val="auto"/>
        </w:rPr>
      </w:pPr>
    </w:p>
    <w:p>
      <w:pPr>
        <w:spacing w:after="0" w:line="235" w:lineRule="auto"/>
        <w:rPr>
          <w:sz w:val="20"/>
          <w:szCs w:val="20"/>
          <w:color w:val="auto"/>
        </w:rPr>
      </w:pPr>
      <w:r>
        <w:rPr>
          <w:rFonts w:ascii="Arial" w:cs="Arial" w:eastAsia="Arial" w:hAnsi="Arial"/>
          <w:sz w:val="20"/>
          <w:szCs w:val="20"/>
          <w:color w:val="221E1F"/>
        </w:rPr>
        <w:t>The Board of Directors of the Corporation has delegated the administration and interpretation of the Awards granted pursuant to the LTIP to the Human Capital &amp; Compensation Committee. The Committee establishes such procedures as it deems necessary and appropriate to administer Awards in a manner that is consistent with the terms of the LTIP. The Committee has, consistent with its charter and subject to certain limitations, further delegated to the Chief Executive Officer, the Chief Human Resources Officer, and the Corporate Vice President, Total Rewards (or successor roles, and to such subordinates as he or she may further delegate) the authority to grant, administer, interpret, freeze and clawback Awards, provided that, such delegation will not apply with respect to employees of the Company who are covered under Section 16 of the Securities Exchange Act of 1934, as amended. Awards to these employees will be granted, administered, and interpreted exclusively by the Committee. The Committee’s decision or that of its delegates on any matter related to an Award shall be binding, final, and conclusive on all parties in interest.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8" w:lineRule="exact"/>
        <w:rPr>
          <w:sz w:val="20"/>
          <w:szCs w:val="20"/>
          <w:color w:val="auto"/>
        </w:rPr>
      </w:pPr>
    </w:p>
    <w:p>
      <w:pPr>
        <w:jc w:val="both"/>
        <w:ind w:right="360"/>
        <w:spacing w:after="0" w:line="241"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14" w:right="339" w:bottom="1440" w:gutter="0" w:footer="0" w:header="0"/>
        </w:sectPr>
      </w:pPr>
    </w:p>
    <w:bookmarkStart w:id="93" w:name="page94"/>
    <w:bookmarkEnd w:id="93"/>
    <w:p>
      <w:pPr>
        <w:ind w:right="40"/>
        <w:spacing w:after="0"/>
        <w:rPr>
          <w:sz w:val="20"/>
          <w:szCs w:val="20"/>
          <w:color w:val="auto"/>
        </w:rPr>
      </w:pPr>
      <w:r>
        <w:rPr>
          <w:rFonts w:ascii="Arial" w:cs="Arial" w:eastAsia="Arial" w:hAnsi="Arial"/>
          <w:sz w:val="20"/>
          <w:szCs w:val="20"/>
          <w:color w:val="221E1F"/>
        </w:rPr>
        <w:t>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opt out of participation in the LTIP programs.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18"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 xml:space="preserve">Participants must comply with the Company’s Code of Conduct and Company policies and procedures. Violations can result in the forfeiture of Awards and the obligation to repay previous gains realized from LTIP Awards. The Company’s Code of Conduct and Company policies are available online at </w:t>
      </w:r>
      <w:r>
        <w:rPr>
          <w:rFonts w:ascii="Arial" w:cs="Arial" w:eastAsia="Arial" w:hAnsi="Arial"/>
          <w:sz w:val="20"/>
          <w:szCs w:val="20"/>
          <w:u w:val="single" w:color="auto"/>
          <w:color w:val="0000FF"/>
        </w:rPr>
        <w:t>http://epolicy.corp.ray.com/epolicy/</w:t>
      </w:r>
      <w:r>
        <w:rPr>
          <w:rFonts w:ascii="Arial" w:cs="Arial" w:eastAsia="Arial" w:hAnsi="Arial"/>
          <w:sz w:val="20"/>
          <w:szCs w:val="20"/>
          <w:color w:val="auto"/>
        </w:rPr>
        <w:t xml:space="preserve">. </w:t>
      </w:r>
      <w:r>
        <w:rPr>
          <w:rFonts w:ascii="Arial" w:cs="Arial" w:eastAsia="Arial" w:hAnsi="Arial"/>
          <w:sz w:val="20"/>
          <w:szCs w:val="20"/>
          <w:color w:val="221E1F"/>
        </w:rPr>
        <w:t>The Company is also required to be compliant</w:t>
      </w:r>
      <w:r>
        <w:rPr>
          <w:rFonts w:ascii="Arial" w:cs="Arial" w:eastAsia="Arial" w:hAnsi="Arial"/>
          <w:sz w:val="20"/>
          <w:szCs w:val="20"/>
          <w:color w:val="auto"/>
        </w:rPr>
        <w:t xml:space="preserve"> </w:t>
      </w:r>
      <w:r>
        <w:rPr>
          <w:rFonts w:ascii="Arial" w:cs="Arial" w:eastAsia="Arial" w:hAnsi="Arial"/>
          <w:sz w:val="20"/>
          <w:szCs w:val="20"/>
          <w:color w:val="221E1F"/>
        </w:rPr>
        <w:t>in those jurisdictions where we do business. While the LTIP, Schedule of Terms, and Award Agreement are governed by and construed in accordance with the laws of the State of Delaware, RTX employees live and work globally in countries throughout the world. Where the Committee, or its delegate, determines in its sole discretion that issuance or vesting of an award, including delivery of shares or cash, cannot be made in compliance with country, provincial, or local laws, the Committee reserves the right to suspend, modify or cancel an award in order to comply with the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04" w:lineRule="exact"/>
        <w:rPr>
          <w:sz w:val="20"/>
          <w:szCs w:val="20"/>
          <w:color w:val="auto"/>
        </w:rPr>
      </w:pPr>
    </w:p>
    <w:p>
      <w:pPr>
        <w:ind w:right="140"/>
        <w:spacing w:after="0"/>
        <w:rPr>
          <w:sz w:val="20"/>
          <w:szCs w:val="20"/>
          <w:color w:val="auto"/>
        </w:rPr>
      </w:pPr>
      <w:r>
        <w:rPr>
          <w:rFonts w:ascii="Arial" w:cs="Arial" w:eastAsia="Arial" w:hAnsi="Arial"/>
          <w:sz w:val="20"/>
          <w:szCs w:val="20"/>
          <w:color w:val="221E1F"/>
        </w:rPr>
        <w:t xml:space="preserve">This Schedule of Terms provides a summary of terms applicable to the Option Award. This Schedule of Terms and each Award Agreement are subject in all respects to the terms of the LTIP, available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18" w:lineRule="exact"/>
        <w:rPr>
          <w:sz w:val="20"/>
          <w:szCs w:val="20"/>
          <w:color w:val="auto"/>
        </w:rPr>
      </w:pPr>
    </w:p>
    <w:p>
      <w:pPr>
        <w:ind w:right="1220"/>
        <w:spacing w:after="0" w:line="257" w:lineRule="auto"/>
        <w:rPr>
          <w:sz w:val="20"/>
          <w:szCs w:val="20"/>
          <w:color w:val="auto"/>
        </w:rPr>
      </w:pPr>
      <w:r>
        <w:rPr>
          <w:rFonts w:ascii="Arial" w:cs="Arial" w:eastAsia="Arial" w:hAnsi="Arial"/>
          <w:sz w:val="20"/>
          <w:szCs w:val="20"/>
          <w:color w:val="auto"/>
        </w:rPr>
        <w:t xml:space="preserve">Questions concerning the LTIP or Awards and requests for LTIP documents can be directed to the RTX Stock Plan Administrator by emailing: </w:t>
      </w:r>
      <w:r>
        <w:rPr>
          <w:rFonts w:ascii="Arial" w:cs="Arial" w:eastAsia="Arial" w:hAnsi="Arial"/>
          <w:sz w:val="20"/>
          <w:szCs w:val="20"/>
          <w:u w:val="single" w:color="auto"/>
          <w:color w:val="0000FF"/>
        </w:rPr>
        <w:t>rtxstockadmin@rtx.com.</w:t>
      </w:r>
    </w:p>
    <w:p>
      <w:pPr>
        <w:spacing w:after="0" w:line="169" w:lineRule="exact"/>
        <w:rPr>
          <w:sz w:val="20"/>
          <w:szCs w:val="20"/>
          <w:color w:val="auto"/>
        </w:rPr>
      </w:pPr>
    </w:p>
    <w:p>
      <w:pPr>
        <w:jc w:val="both"/>
        <w:ind w:right="80"/>
        <w:spacing w:after="0" w:line="268"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02/2025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1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ind w:right="74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April 22, 2025 on our review of interim financial information of RTX Corporation, which appears in this Quarterly Report on Form 10-Q, is incorporated by reference in the Registration Statements on Form S-3 (No. 333-267564) and S-8 (Nos. 333-273420, 333-273414, 333-234085, 333-228649, 333-225839, 333-197704, 333-175781, 333-150643, 333-125293, 333-110020, and 333-100724) of RTX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Calio, certify that:</w:t>
      </w:r>
    </w:p>
    <w:p>
      <w:pPr>
        <w:spacing w:after="0" w:line="171"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CALIO</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2025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as amended, and information contained in the Form 10-Q fairly presents, in all material respects, the financial condition and results of operations of the Corporation as of and for the periods presented in the Form 10-Q.</w:t>
      </w:r>
    </w:p>
    <w:p>
      <w:pPr>
        <w:sectPr>
          <w:pgSz w:w="11900" w:h="16838" w:orient="portrait"/>
          <w:cols w:equalWidth="0" w:num="1">
            <w:col w:w="11240"/>
          </w:cols>
          <w:pgMar w:left="320" w:top="887" w:right="339" w:bottom="1440" w:gutter="0" w:footer="0" w:header="0"/>
        </w:sectPr>
      </w:pPr>
    </w:p>
    <w:p>
      <w:pPr>
        <w:spacing w:after="0" w:line="36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22,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22,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22, 2025</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Calio</w:t>
      </w:r>
    </w:p>
    <w:p>
      <w:pPr>
        <w:spacing w:after="0" w:line="27"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color w:val="auto"/>
        </w:rPr>
        <w:t>Corporate Vice President and Controller</w:t>
      </w:r>
    </w:p>
    <w:sectPr>
      <w:pgSz w:w="11900" w:h="16838" w:orient="portrait"/>
      <w:cols w:equalWidth="0" w:num="2">
        <w:col w:w="4380" w:space="720"/>
        <w:col w:w="61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amp;"/>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o"/>
      <w:numFmt w:val="bullet"/>
      <w:start w:val="1"/>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lowerRoman"/>
      <w:start w:val="2"/>
    </w:lvl>
    <w:lvl w:ilvl="1">
      <w:lvlJc w:val="left"/>
      <w:lvlText w:val="(%2)"/>
      <w:numFmt w:val="upperLetter"/>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o"/>
      <w:numFmt w:val="bullet"/>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lowerRoman"/>
      <w:start w:val="1"/>
    </w:lvl>
    <w:lvl w:ilvl="1">
      <w:lvlJc w:val="left"/>
      <w:lvlText w:val="(%2)"/>
      <w:numFmt w:val="upperLetter"/>
      <w:start w:val="1"/>
    </w:lvl>
  </w:abstractNum>
  <w:abstractNum w:abstractNumId="22">
    <w:nsid w:val="8138641"/>
    <w:multiLevelType w:val="hybridMultilevel"/>
    <w:lvl w:ilvl="0">
      <w:lvlJc w:val="left"/>
      <w:lvlText w:val="(%1)"/>
      <w:numFmt w:val="lowerRoman"/>
      <w:start w:val="8"/>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o"/>
      <w:numFmt w:val="bullet"/>
      <w:start w:val="1"/>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1)"/>
      <w:numFmt w:val="lowerRoman"/>
      <w:start w:val="2"/>
    </w:lvl>
    <w:lvl w:ilvl="1">
      <w:lvlJc w:val="left"/>
      <w:lvlText w:val="(%2)"/>
      <w:numFmt w:val="upperLetter"/>
      <w:start w:val="1"/>
    </w:lvl>
  </w:abstractNum>
  <w:abstractNum w:abstractNumId="29">
    <w:nsid w:val="3006C83E"/>
    <w:multiLevelType w:val="hybridMultilevel"/>
    <w:lvl w:ilvl="0">
      <w:lvlJc w:val="left"/>
      <w:lvlText w:val="(%1)"/>
      <w:numFmt w:val="lowerRoman"/>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o"/>
      <w:numFmt w:val="bullet"/>
      <w:start w:val="1"/>
    </w:lvl>
  </w:abstractNum>
  <w:abstractNum w:abstractNumId="32">
    <w:nsid w:val="5577F8E1"/>
    <w:multiLevelType w:val="hybridMultilevel"/>
    <w:lvl w:ilvl="0">
      <w:lvlJc w:val="left"/>
      <w:lvlText w:val="(%1)"/>
      <w:numFmt w:val="lowerRoman"/>
      <w:start w:val="1"/>
    </w:lvl>
  </w:abstractNum>
  <w:abstractNum w:abstractNumId="33">
    <w:nsid w:val="440BADFC"/>
    <w:multiLevelType w:val="hybridMultilevel"/>
    <w:lvl w:ilvl="0">
      <w:lvlJc w:val="left"/>
      <w:lvlText w:val="(%1)"/>
      <w:numFmt w:val="lowerRoman"/>
      <w:start w:val="3"/>
    </w:lvl>
    <w:lvl w:ilvl="1">
      <w:lvlJc w:val="left"/>
      <w:lvlText w:val="(%2)"/>
      <w:numFmt w:val="upperLetter"/>
      <w:start w:val="2"/>
    </w:lvl>
    <w:lvl w:ilvl="2">
      <w:lvlJc w:val="left"/>
      <w:lvlText w:val="(%3)"/>
      <w:numFmt w:val="upp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2025-04-22T16:08:27Z</dcterms:created>
  <dcterms:modified xsi:type="dcterms:W3CDTF">2025-04-22T16:08:27Z</dcterms:modified>
</cp:coreProperties>
</file>