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347" w:lineRule="exact"/>
        <w:rPr>
          <w:sz w:val="24"/>
          <w:szCs w:val="24"/>
          <w:color w:val="auto"/>
        </w:rPr>
      </w:pPr>
    </w:p>
    <w:p>
      <w:pPr>
        <w:ind w:left="720" w:right="16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2016</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-5080</wp:posOffset>
            </wp:positionV>
            <wp:extent cx="1066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1-812</w:t>
      </w:r>
    </w:p>
    <w:p>
      <w:pPr>
        <w:spacing w:after="0" w:line="20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UNITED TECHNOLOGIES CORPORATION</w:t>
      </w:r>
    </w:p>
    <w:p>
      <w:pPr>
        <w:spacing w:after="0" w:line="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ectPr>
          <w:pgSz w:w="11900" w:h="16838" w:orient="portrait"/>
          <w:cols w:equalWidth="0" w:num="1">
            <w:col w:w="11380"/>
          </w:cols>
          <w:pgMar w:left="240" w:top="225" w:right="279" w:bottom="1440" w:gutter="0" w:footer="0" w:header="0"/>
        </w:sectPr>
      </w:pPr>
    </w:p>
    <w:p>
      <w:pPr>
        <w:spacing w:after="0" w:line="147"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06-0570975</w:t>
      </w:r>
    </w:p>
    <w:p>
      <w:pPr>
        <w:spacing w:after="0" w:line="75" w:lineRule="exact"/>
        <w:rPr>
          <w:sz w:val="24"/>
          <w:szCs w:val="24"/>
          <w:color w:val="auto"/>
        </w:rPr>
      </w:pPr>
    </w:p>
    <w:p>
      <w:pPr>
        <w:sectPr>
          <w:pgSz w:w="11900" w:h="16838" w:orient="portrait"/>
          <w:cols w:equalWidth="0" w:num="2">
            <w:col w:w="7520" w:space="720"/>
            <w:col w:w="3140"/>
          </w:cols>
          <w:pgMar w:left="240" w:top="225" w:right="2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 Farm Springs Road, Farmington, Connecticut 06032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(860) 728-7000</w:t>
      </w:r>
    </w:p>
    <w:p>
      <w:pPr>
        <w:sectPr>
          <w:pgSz w:w="11900" w:h="16838" w:orient="portrait"/>
          <w:cols w:equalWidth="0" w:num="1">
            <w:col w:w="11380"/>
          </w:cols>
          <w:pgMar w:left="240" w:top="225" w:right="279" w:bottom="1440" w:gutter="0" w:footer="0" w:header="0"/>
          <w:type w:val="continuous"/>
        </w:sectPr>
      </w:pPr>
    </w:p>
    <w:p>
      <w:pPr>
        <w:spacing w:after="0" w:line="234" w:lineRule="exact"/>
        <w:rPr>
          <w:sz w:val="24"/>
          <w:szCs w:val="24"/>
          <w:color w:val="auto"/>
        </w:rPr>
      </w:pPr>
    </w:p>
    <w:p>
      <w:pPr>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5" w:lineRule="exact"/>
        <w:rPr>
          <w:sz w:val="24"/>
          <w:szCs w:val="24"/>
          <w:color w:val="auto"/>
        </w:rPr>
      </w:pPr>
    </w:p>
    <w:p>
      <w:pPr>
        <w:ind w:right="22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440" w:space="720"/>
            <w:col w:w="2000" w:space="720"/>
            <w:col w:w="300"/>
          </w:cols>
          <w:pgMar w:left="240" w:top="225" w:right="27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1560" w:space="640"/>
            <w:col w:w="180" w:space="40"/>
            <w:col w:w="5220" w:space="720"/>
            <w:col w:w="2000" w:space="720"/>
            <w:col w:w="300"/>
          </w:cols>
          <w:pgMar w:left="240" w:top="225" w:right="279" w:bottom="1440" w:gutter="0" w:footer="0" w:header="0"/>
          <w:type w:val="continuous"/>
        </w:sectPr>
      </w:pPr>
    </w:p>
    <w:p>
      <w:pPr>
        <w:spacing w:after="0" w:line="35" w:lineRule="exact"/>
        <w:rPr>
          <w:sz w:val="24"/>
          <w:szCs w:val="24"/>
          <w:color w:val="auto"/>
        </w:rPr>
      </w:pPr>
    </w:p>
    <w:p>
      <w:pPr>
        <w:ind w:left="440"/>
        <w:spacing w:after="0" w:line="207" w:lineRule="exact"/>
        <w:tabs>
          <w:tab w:leader="none" w:pos="8780" w:val="left"/>
          <w:tab w:leader="none" w:pos="95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tab/>
        <w:t xml:space="preserve">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2016 there were 823,405,687 shares of Common Stock outstanding.</w:t>
      </w:r>
    </w:p>
    <w:p>
      <w:pPr>
        <w:sectPr>
          <w:pgSz w:w="11900" w:h="16838" w:orient="portrait"/>
          <w:cols w:equalWidth="0" w:num="1">
            <w:col w:w="11380"/>
          </w:cols>
          <w:pgMar w:left="240" w:top="225" w:right="27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 OF QUARTERLY REPORT ON 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September 30, 2016</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3"/>
        </w:trPr>
        <w:tc>
          <w:tcPr>
            <w:tcW w:w="10700" w:type="dxa"/>
            <w:vAlign w:val="bottom"/>
            <w:gridSpan w:val="20"/>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PART I – FINANCIAL INFORMATION</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Item 1. Unaudited Financial Statements:</w:t>
              </w:r>
            </w:hyperlink>
          </w:p>
        </w:tc>
        <w:tc>
          <w:tcPr>
            <w:tcW w:w="766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quarters ended September 30, 2016 and 2015</w:t>
            </w:r>
          </w:p>
        </w:tc>
        <w:tc>
          <w:tcPr>
            <w:tcW w:w="294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Condensed Consolidated Statement of Operations for the nine months ended September 30, 2016 and 2015</w:t>
              </w:r>
            </w:hyperlink>
          </w:p>
        </w:tc>
        <w:tc>
          <w:tcPr>
            <w:tcW w:w="264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4">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Condensed Consolidated Statement of Comprehensive Income for the quarters and nine months ended September 30, 2016 and 2015</w:t>
              </w:r>
            </w:hyperlink>
          </w:p>
        </w:tc>
        <w:tc>
          <w:tcPr>
            <w:tcW w:w="7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5</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w:anchor="page6">
              <w:r>
                <w:rPr>
                  <w:rFonts w:ascii="Times New Roman" w:cs="Times New Roman" w:eastAsia="Times New Roman" w:hAnsi="Times New Roman"/>
                  <w:sz w:val="18"/>
                  <w:szCs w:val="18"/>
                  <w:color w:val="0000FF"/>
                  <w:w w:val="99"/>
                </w:rPr>
                <w:t>Condensed Consolidated Balance Sheet at September 30, 2016 and December 31, 2015</w:t>
              </w:r>
            </w:hyperlink>
          </w:p>
        </w:tc>
        <w:tc>
          <w:tcPr>
            <w:tcW w:w="406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7">
              <w:r>
                <w:rPr>
                  <w:rFonts w:ascii="Times New Roman" w:cs="Times New Roman" w:eastAsia="Times New Roman" w:hAnsi="Times New Roman"/>
                  <w:sz w:val="18"/>
                  <w:szCs w:val="18"/>
                  <w:color w:val="0000FF"/>
                  <w:w w:val="99"/>
                </w:rPr>
                <w:t>Condensed Consolidated Statement of Cash Flows for the nine months ended September 30, 2016 and 2015</w:t>
              </w:r>
            </w:hyperlink>
          </w:p>
        </w:tc>
        <w:tc>
          <w:tcPr>
            <w:tcW w:w="258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7</w:t>
              </w:r>
            </w:hyperlink>
          </w:p>
        </w:tc>
        <w:tc>
          <w:tcPr>
            <w:tcW w:w="20" w:type="dxa"/>
            <w:vAlign w:val="bottom"/>
          </w:tcPr>
          <w:p>
            <w:pPr>
              <w:spacing w:after="0"/>
              <w:rPr>
                <w:sz w:val="24"/>
                <w:szCs w:val="24"/>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Notes to Condensed Consolidated 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color w:val="0000FF"/>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60" w:type="dxa"/>
            <w:vAlign w:val="bottom"/>
            <w:gridSpan w:val="18"/>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Report of Independent Registered Public Accounting Firm</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0560" w:type="dxa"/>
            <w:vAlign w:val="bottom"/>
            <w:gridSpan w:val="19"/>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Item 2. 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29</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6980" w:type="dxa"/>
            <w:vAlign w:val="bottom"/>
            <w:gridSpan w:val="14"/>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Item 3. Quantitative and Qualitative Disclosures About Market Risk</w:t>
              </w:r>
            </w:hyperlink>
          </w:p>
        </w:tc>
        <w:tc>
          <w:tcPr>
            <w:tcW w:w="3580" w:type="dxa"/>
            <w:vAlign w:val="bottom"/>
            <w:gridSpan w:val="5"/>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44</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320" w:type="dxa"/>
            <w:vAlign w:val="bottom"/>
            <w:gridSpan w:val="6"/>
          </w:tcPr>
          <w:p>
            <w:pPr>
              <w:spacing w:after="0"/>
              <w:rPr>
                <w:rFonts w:ascii="Times New Roman" w:cs="Times New Roman" w:eastAsia="Times New Roman" w:hAnsi="Times New Roman"/>
                <w:sz w:val="18"/>
                <w:szCs w:val="18"/>
                <w:color w:val="0000FF"/>
                <w:w w:val="98"/>
              </w:rPr>
            </w:pPr>
            <w:hyperlink w:anchor="page45">
              <w:r>
                <w:rPr>
                  <w:rFonts w:ascii="Times New Roman" w:cs="Times New Roman" w:eastAsia="Times New Roman" w:hAnsi="Times New Roman"/>
                  <w:sz w:val="18"/>
                  <w:szCs w:val="18"/>
                  <w:color w:val="0000FF"/>
                  <w:w w:val="98"/>
                </w:rPr>
                <w:t>Item 4. Controls and Procedures</w:t>
              </w:r>
            </w:hyperlink>
          </w:p>
        </w:tc>
        <w:tc>
          <w:tcPr>
            <w:tcW w:w="2580" w:type="dxa"/>
            <w:vAlign w:val="bottom"/>
            <w:gridSpan w:val="6"/>
          </w:tcPr>
          <w:p>
            <w:pPr>
              <w:spacing w:after="0"/>
              <w:rPr>
                <w:sz w:val="24"/>
                <w:szCs w:val="24"/>
                <w:color w:val="auto"/>
              </w:rPr>
            </w:pPr>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5">
              <w:r>
                <w:rPr>
                  <w:rFonts w:ascii="Times New Roman" w:cs="Times New Roman" w:eastAsia="Times New Roman" w:hAnsi="Times New Roman"/>
                  <w:sz w:val="18"/>
                  <w:szCs w:val="18"/>
                  <w:color w:val="0000FF"/>
                </w:rPr>
                <w:t>45</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60" w:type="dxa"/>
            <w:vAlign w:val="bottom"/>
            <w:gridSpan w:val="8"/>
          </w:tcPr>
          <w:p>
            <w:pPr>
              <w:spacing w:after="0"/>
              <w:rPr>
                <w:rFonts w:ascii="Times New Roman" w:cs="Times New Roman" w:eastAsia="Times New Roman" w:hAnsi="Times New Roman"/>
                <w:sz w:val="18"/>
                <w:szCs w:val="18"/>
                <w:color w:val="0000FF"/>
                <w:w w:val="97"/>
              </w:rPr>
            </w:pPr>
            <w:hyperlink w:anchor="page47">
              <w:r>
                <w:rPr>
                  <w:rFonts w:ascii="Times New Roman" w:cs="Times New Roman" w:eastAsia="Times New Roman" w:hAnsi="Times New Roman"/>
                  <w:sz w:val="18"/>
                  <w:szCs w:val="18"/>
                  <w:color w:val="0000FF"/>
                  <w:w w:val="97"/>
                </w:rPr>
                <w:t>PART II – OTHER INFORMATION</w:t>
              </w:r>
            </w:hyperlink>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47</w:t>
              </w:r>
            </w:hyperlink>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880" w:type="dxa"/>
            <w:vAlign w:val="bottom"/>
            <w:gridSpan w:val="5"/>
          </w:tcPr>
          <w:p>
            <w:pPr>
              <w:spacing w:after="0"/>
              <w:rPr>
                <w:rFonts w:ascii="Times New Roman" w:cs="Times New Roman" w:eastAsia="Times New Roman" w:hAnsi="Times New Roman"/>
                <w:sz w:val="18"/>
                <w:szCs w:val="18"/>
                <w:color w:val="0000FF"/>
                <w:w w:val="98"/>
              </w:rPr>
            </w:pPr>
            <w:hyperlink w:anchor="page47">
              <w:r>
                <w:rPr>
                  <w:rFonts w:ascii="Times New Roman" w:cs="Times New Roman" w:eastAsia="Times New Roman" w:hAnsi="Times New Roman"/>
                  <w:sz w:val="18"/>
                  <w:szCs w:val="18"/>
                  <w:color w:val="0000FF"/>
                  <w:w w:val="98"/>
                </w:rPr>
                <w:t>Item 1. Legal Proceedings</w:t>
              </w:r>
            </w:hyperlink>
          </w:p>
        </w:tc>
        <w:tc>
          <w:tcPr>
            <w:tcW w:w="640" w:type="dxa"/>
            <w:vAlign w:val="bottom"/>
            <w:gridSpan w:val="2"/>
          </w:tcPr>
          <w:p>
            <w:pPr>
              <w:spacing w:after="0"/>
              <w:rPr>
                <w:sz w:val="24"/>
                <w:szCs w:val="24"/>
                <w:color w:val="auto"/>
              </w:rPr>
            </w:pPr>
          </w:p>
        </w:tc>
        <w:tc>
          <w:tcPr>
            <w:tcW w:w="8040" w:type="dxa"/>
            <w:vAlign w:val="bottom"/>
            <w:gridSpan w:val="12"/>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1580" w:type="dxa"/>
            <w:vAlign w:val="bottom"/>
            <w:gridSpan w:val="4"/>
          </w:tcPr>
          <w:p>
            <w:pPr>
              <w:spacing w:after="0"/>
              <w:rPr>
                <w:rFonts w:ascii="Times New Roman" w:cs="Times New Roman" w:eastAsia="Times New Roman" w:hAnsi="Times New Roman"/>
                <w:sz w:val="18"/>
                <w:szCs w:val="18"/>
                <w:color w:val="0000FF"/>
                <w:w w:val="98"/>
              </w:rPr>
            </w:pPr>
            <w:hyperlink w:anchor="page47">
              <w:r>
                <w:rPr>
                  <w:rFonts w:ascii="Times New Roman" w:cs="Times New Roman" w:eastAsia="Times New Roman" w:hAnsi="Times New Roman"/>
                  <w:sz w:val="18"/>
                  <w:szCs w:val="18"/>
                  <w:color w:val="0000FF"/>
                  <w:w w:val="98"/>
                </w:rPr>
                <w:t>Item 1A. Risk Factors</w:t>
              </w:r>
            </w:hyperlink>
          </w:p>
        </w:tc>
        <w:tc>
          <w:tcPr>
            <w:tcW w:w="300" w:type="dxa"/>
            <w:vAlign w:val="bottom"/>
          </w:tcPr>
          <w:p>
            <w:pPr>
              <w:spacing w:after="0"/>
              <w:rPr>
                <w:sz w:val="24"/>
                <w:szCs w:val="24"/>
                <w:color w:val="auto"/>
              </w:rPr>
            </w:pPr>
          </w:p>
        </w:tc>
        <w:tc>
          <w:tcPr>
            <w:tcW w:w="8680" w:type="dxa"/>
            <w:vAlign w:val="bottom"/>
            <w:gridSpan w:val="14"/>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47</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Item 2. Unregistered Sales of Equity Securities and Use of Proceeds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48</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4900" w:type="dxa"/>
            <w:vAlign w:val="bottom"/>
            <w:gridSpan w:val="12"/>
          </w:tcPr>
          <w:p>
            <w:pPr>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Item 6. Exhibits</w:t>
              </w:r>
            </w:hyperlink>
          </w:p>
        </w:tc>
        <w:tc>
          <w:tcPr>
            <w:tcW w:w="5660" w:type="dxa"/>
            <w:vAlign w:val="bottom"/>
            <w:gridSpan w:val="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49</w:t>
              </w:r>
            </w:hyperlink>
          </w:p>
        </w:tc>
      </w:tr>
      <w:tr>
        <w:trPr>
          <w:trHeight w:val="20"/>
        </w:trPr>
        <w:tc>
          <w:tcPr>
            <w:tcW w:w="14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Times New Roman" w:cs="Times New Roman" w:eastAsia="Times New Roman" w:hAnsi="Times New Roman"/>
                <w:sz w:val="18"/>
                <w:szCs w:val="18"/>
                <w:color w:val="0000FF"/>
                <w:w w:val="96"/>
              </w:rPr>
            </w:pPr>
            <w:hyperlink w:anchor="page50">
              <w:r>
                <w:rPr>
                  <w:rFonts w:ascii="Times New Roman" w:cs="Times New Roman" w:eastAsia="Times New Roman" w:hAnsi="Times New Roman"/>
                  <w:sz w:val="18"/>
                  <w:szCs w:val="18"/>
                  <w:color w:val="0000FF"/>
                  <w:w w:val="96"/>
                </w:rPr>
                <w:t>SIGNATURES</w:t>
              </w:r>
            </w:hyperlink>
          </w:p>
        </w:tc>
        <w:tc>
          <w:tcPr>
            <w:tcW w:w="9600" w:type="dxa"/>
            <w:vAlign w:val="bottom"/>
            <w:gridSpan w:val="17"/>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50</w:t>
              </w:r>
            </w:hyperlink>
          </w:p>
        </w:tc>
      </w:tr>
      <w:tr>
        <w:trPr>
          <w:trHeight w:val="20"/>
        </w:trPr>
        <w:tc>
          <w:tcPr>
            <w:tcW w:w="11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2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80" w:type="dxa"/>
            <w:vAlign w:val="bottom"/>
            <w:gridSpan w:val="4"/>
          </w:tcPr>
          <w:p>
            <w:pPr>
              <w:spacing w:after="0"/>
              <w:rPr>
                <w:rFonts w:ascii="Times New Roman" w:cs="Times New Roman" w:eastAsia="Times New Roman" w:hAnsi="Times New Roman"/>
                <w:sz w:val="18"/>
                <w:szCs w:val="18"/>
                <w:color w:val="0000FF"/>
                <w:w w:val="93"/>
              </w:rPr>
            </w:pPr>
            <w:hyperlink w:anchor="page51">
              <w:r>
                <w:rPr>
                  <w:rFonts w:ascii="Times New Roman" w:cs="Times New Roman" w:eastAsia="Times New Roman" w:hAnsi="Times New Roman"/>
                  <w:sz w:val="18"/>
                  <w:szCs w:val="18"/>
                  <w:color w:val="0000FF"/>
                  <w:w w:val="93"/>
                </w:rPr>
                <w:t>EXHIBIT INDEX</w:t>
              </w:r>
            </w:hyperlink>
          </w:p>
        </w:tc>
        <w:tc>
          <w:tcPr>
            <w:tcW w:w="942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51</w:t>
              </w:r>
            </w:hyperlink>
          </w:p>
        </w:tc>
      </w:tr>
      <w:tr>
        <w:trPr>
          <w:trHeight w:val="20"/>
        </w:trPr>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products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 sites in this Form 10-Q are provided for convenience only. Information available through these web sites is not incorporated by reference into this Form 10-Q.</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360" w:type="dxa"/>
            <w:vAlign w:val="bottom"/>
          </w:tcPr>
          <w:p>
            <w:pPr>
              <w:spacing w:after="0"/>
              <w:rPr>
                <w:sz w:val="19"/>
                <w:szCs w:val="19"/>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9,642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4,146</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13,788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services sold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1,359</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11,705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2,302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592</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1,526</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(Note 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 attributable to common shareowners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1,480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1,362</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sales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29,725</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12,073</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41,798</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21,952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1,668</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4,261</w:t>
            </w:r>
          </w:p>
        </w:tc>
      </w:tr>
      <w:tr>
        <w:trPr>
          <w:trHeight w:val="237"/>
        </w:trPr>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35,707</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808</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6,899</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618</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6,281</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1,748</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4,533</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Noncontrolling interest in subsidiaries' earnings from continuing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4,252</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 (Note 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disposal</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
        </w:trPr>
        <w:tc>
          <w:tcPr>
            <w:tcW w:w="4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attributable to common shareowners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4,042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4,330</w:t>
            </w:r>
          </w:p>
        </w:tc>
      </w:tr>
      <w:tr>
        <w:trPr>
          <w:trHeight w:val="23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Basic:</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Earnings Per Share of Common Stock - Diluted:</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4.85</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28"/>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4,533</w:t>
            </w:r>
          </w:p>
        </w:tc>
      </w:tr>
      <w:tr>
        <w:trPr>
          <w:trHeight w:val="243"/>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4,611</w:t>
            </w: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 (expense) benefit: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entity recognized in Other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Pension and post-retirement benefit plans adjustments during the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actuarial loss, prior service cost and transition obligation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Unrealized holding gain (loss) arising during period</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Unrealized cash flow hedging (loss) gain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reclassified into 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3,821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7"/>
        </w:trPr>
        <w:tc>
          <w:tcPr>
            <w:tcW w:w="6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3,603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3"/>
                <w:szCs w:val="13"/>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jc w:val="center"/>
              <w:ind w:right="3840"/>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1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840" w:type="dxa"/>
            <w:vAlign w:val="bottom"/>
            <w:tcBorders>
              <w:top w:val="single" w:sz="8" w:color="CCEEFF"/>
            </w:tcBorders>
            <w:gridSpan w:val="4"/>
          </w:tcPr>
          <w:p>
            <w:pPr>
              <w:ind w:left="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tcBorders>
              <w:top w:val="single" w:sz="8" w:color="auto"/>
            </w:tcBorders>
          </w:tcPr>
          <w:p>
            <w:pPr>
              <w:spacing w:after="0"/>
              <w:rPr>
                <w:sz w:val="20"/>
                <w:szCs w:val="20"/>
                <w:color w:val="auto"/>
              </w:rPr>
            </w:pPr>
          </w:p>
        </w:tc>
        <w:tc>
          <w:tcPr>
            <w:tcW w:w="3840" w:type="dxa"/>
            <w:vAlign w:val="bottom"/>
            <w:tcBorders>
              <w:top w:val="single" w:sz="8" w:color="CCEEFF"/>
            </w:tcBorders>
            <w:gridSpan w:val="2"/>
          </w:tcPr>
          <w:p>
            <w:pPr>
              <w:spacing w:after="0"/>
              <w:rPr>
                <w:sz w:val="20"/>
                <w:szCs w:val="20"/>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17"/>
                <w:szCs w:val="17"/>
                <w:color w:val="auto"/>
              </w:rPr>
              <w:t>7,107</w:t>
            </w: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17"/>
                <w:szCs w:val="17"/>
                <w:color w:val="auto"/>
              </w:rPr>
              <w:t>7,075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10,653</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Inventories and contracts in progress, net</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9,081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8,135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assets, current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843</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28,548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26,706</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Customer financing assets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1,018</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Future income tax benefits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1,961</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18,494</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(9,762)</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Fixed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8,732</w:t>
            </w:r>
          </w:p>
        </w:tc>
        <w:tc>
          <w:tcPr>
            <w:tcW w:w="0" w:type="dxa"/>
            <w:vAlign w:val="bottom"/>
          </w:tcPr>
          <w:p>
            <w:pPr>
              <w:spacing w:after="0"/>
              <w:rPr>
                <w:sz w:val="1"/>
                <w:szCs w:val="1"/>
                <w:color w:val="auto"/>
              </w:rPr>
            </w:pPr>
          </w:p>
        </w:tc>
      </w:tr>
      <w:tr>
        <w:trPr>
          <w:trHeight w:val="22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27,422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27,301</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15,603</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6,163</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860" w:type="dxa"/>
            <w:vAlign w:val="bottom"/>
            <w:gridSpan w:val="4"/>
            <w:vMerge w:val="restart"/>
          </w:tcPr>
          <w:p>
            <w:pPr>
              <w:jc w:val="center"/>
              <w:ind w:right="326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86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Short-term borrowings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926</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7,432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6,875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14,638</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Long-term debt currently due</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22,618</w:t>
            </w:r>
          </w:p>
        </w:tc>
        <w:tc>
          <w:tcPr>
            <w:tcW w:w="0" w:type="dxa"/>
            <w:vAlign w:val="bottom"/>
          </w:tcPr>
          <w:p>
            <w:pPr>
              <w:spacing w:after="0"/>
              <w:rPr>
                <w:sz w:val="1"/>
                <w:szCs w:val="1"/>
                <w:color w:val="auto"/>
              </w:rPr>
            </w:pPr>
          </w:p>
        </w:tc>
      </w:tr>
      <w:tr>
        <w:trPr>
          <w:trHeight w:val="22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20,190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19,320</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Future pension and postretirement benefit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6,022</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Pr>
          <w:p>
            <w:pPr>
              <w:spacing w:after="0"/>
              <w:rPr>
                <w:sz w:val="20"/>
                <w:szCs w:val="20"/>
                <w:color w:val="auto"/>
              </w:rPr>
            </w:pPr>
          </w:p>
        </w:tc>
        <w:tc>
          <w:tcPr>
            <w:tcW w:w="14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10,558</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58,518</w:t>
            </w:r>
          </w:p>
        </w:tc>
        <w:tc>
          <w:tcPr>
            <w:tcW w:w="0" w:type="dxa"/>
            <w:vAlign w:val="bottom"/>
          </w:tcPr>
          <w:p>
            <w:pPr>
              <w:spacing w:after="0"/>
              <w:rPr>
                <w:sz w:val="1"/>
                <w:szCs w:val="1"/>
                <w:color w:val="auto"/>
              </w:rPr>
            </w:pPr>
          </w:p>
        </w:tc>
      </w:tr>
      <w:tr>
        <w:trPr>
          <w:trHeight w:val="22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Commitments and contingent liabilities (Note 15)</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Redeemable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41"/>
        </w:trPr>
        <w:tc>
          <w:tcPr>
            <w:tcW w:w="812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Shareowners' Equity:</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16,033</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Times New Roman" w:cs="Times New Roman" w:eastAsia="Times New Roman" w:hAnsi="Times New Roman"/>
                <w:sz w:val="17"/>
                <w:szCs w:val="17"/>
                <w:color w:val="auto"/>
              </w:rPr>
              <w:t>Treasury Stock</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(30,907)</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49,956</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80" w:type="dxa"/>
            <w:vAlign w:val="bottom"/>
            <w:gridSpan w:val="6"/>
          </w:tcPr>
          <w:p>
            <w:pPr>
              <w:ind w:left="680"/>
              <w:spacing w:after="0"/>
              <w:rPr>
                <w:sz w:val="20"/>
                <w:szCs w:val="20"/>
                <w:color w:val="auto"/>
              </w:rPr>
            </w:pPr>
            <w:r>
              <w:rPr>
                <w:rFonts w:ascii="Times New Roman" w:cs="Times New Roman" w:eastAsia="Times New Roman" w:hAnsi="Times New Roman"/>
                <w:sz w:val="17"/>
                <w:szCs w:val="17"/>
                <w:color w:val="auto"/>
              </w:rPr>
              <w:t>Unearned ESOP shares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6"/>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80" w:type="dxa"/>
            <w:vAlign w:val="bottom"/>
            <w:gridSpan w:val="6"/>
          </w:tcPr>
          <w:p>
            <w:pPr>
              <w:ind w:left="1100"/>
              <w:spacing w:after="0"/>
              <w:rPr>
                <w:sz w:val="20"/>
                <w:szCs w:val="20"/>
                <w:color w:val="auto"/>
              </w:rPr>
            </w:pPr>
            <w:r>
              <w:rPr>
                <w:rFonts w:ascii="Times New Roman" w:cs="Times New Roman" w:eastAsia="Times New Roman" w:hAnsi="Times New Roman"/>
                <w:sz w:val="17"/>
                <w:szCs w:val="17"/>
                <w:color w:val="auto"/>
              </w:rPr>
              <w:t>Total Shareowners'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29,187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27,358</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7"/>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1,486</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8080" w:type="dxa"/>
            <w:vAlign w:val="bottom"/>
            <w:gridSpan w:val="6"/>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30,764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28,844</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90,062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87,484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from continuing operations to net cash flows provided by operating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Stock compensation cost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Inventories and contracts in progress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pension contributions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Canadian government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flows provided by operating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4,044</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Investing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businesses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Dispositions of businesses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customer financing assets,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collaboration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(Payments) receipts from settlements of derivative contracts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 of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Issuance of long-term debt,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 in short-term borrowings, net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issuance - equity unit remarketing</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Common Stock issued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flows used in financing activities of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 cash flows used in discontinued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Cash and cash equivalents of businesses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708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w w:val="98"/>
              </w:rPr>
              <w:t>See accompanying Notes to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13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130" w:gutter="0" w:footer="0" w:header="0"/>
          <w:type w:val="continuous"/>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ind w:right="60" w:firstLine="567"/>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at September 30, 2016 and for the quarters and nine months ended September 30, 2016 and 2015 are unaudited, but in the opinion of management include all adjustments (consisting only of normal recurring adjustments) necessary for a fair statement of the results for the interim periods.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(2015 Annual Report) incorporated by reference to our Annual Report on Form 10-K for calendar year 2015 (2015 Form 10-K).</w:t>
      </w:r>
    </w:p>
    <w:p>
      <w:pPr>
        <w:spacing w:after="0" w:line="78" w:lineRule="exact"/>
        <w:rPr>
          <w:sz w:val="20"/>
          <w:szCs w:val="20"/>
          <w:color w:val="auto"/>
        </w:rPr>
      </w:pPr>
    </w:p>
    <w:p>
      <w:pPr>
        <w:ind w:right="60" w:firstLine="567"/>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which amends the accounting for employee share-based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to require recognition of the tax effects resulting from the settlement of stock-based awards as income tax expense or benefit in the income statement in the reporting period in which they occur. The ASU also requires that all tax-related cash flows resulting from share-based payments, including the excess tax benefits related to the settlement of stock-based awards, be classified as cash flows from operating activities, and that cash paid by directly withholding shares for tax withholding purposes be classified as a financing activity in the statement of cash flows. In addition, the ASU also allows companies to make an accounting policy election to either estimate the number of awards that are expected to vest, consistent with current U.S. GAAP, or account for forfeitures when they occur. The new standard is effective for annual reporting periods beginning after December 15, 2016 with early adoption permitted. We have elected to early adopt the requirements of the amended standard in the third quarter of 2016 and are therefore required to report the impacts as though adopted on January 1, 2016. Accordingly, we recognized additional income tax benefits of approximately $13 million and $11 million for the quarter and nine months ended September 30, 2016, respectively. In addition, we recognized the additional income tax benefits and cash paid by directly withholding shares for tax withholding purposes of $29 million for the nine months ended September 30, 2016 as an increase in net cash flows provided by operating activities of continuing operations, and an increase in net cash flows used in financing activities of continuing operations. There is no change to our accounting policy with respect to estimation of forfeitures.</w:t>
      </w:r>
    </w:p>
    <w:p>
      <w:pPr>
        <w:spacing w:after="0" w:line="189" w:lineRule="exact"/>
        <w:rPr>
          <w:sz w:val="20"/>
          <w:szCs w:val="20"/>
          <w:color w:val="auto"/>
        </w:rPr>
      </w:pPr>
    </w:p>
    <w:p>
      <w:pPr>
        <w:ind w:right="20" w:firstLine="567"/>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amounts to conform to the current year presentation. On November 6, 2015, we completed the sale of the Sikorsky Aircraft business (Sikorsky) to Lockheed Martin Corp. Accordingly, the results of operations and the related cash flows of Sikorsky have been reclassified to Discontinued Operations in our Condensed Consolidated Statements of Operations for the quarter and nine months ended September 30, 2015 and in our Condensed Consolidated Statement of Cash Flows for the nine months ended September 30, 2015. See Note 2 for further discussion.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Acquisitions, Dispositions, Goodwill and Other Intangible Assets</w:t>
      </w:r>
    </w:p>
    <w:p>
      <w:pPr>
        <w:spacing w:after="0" w:line="225"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and Dispositions. </w:t>
      </w:r>
      <w:r>
        <w:rPr>
          <w:rFonts w:ascii="Times New Roman" w:cs="Times New Roman" w:eastAsia="Times New Roman" w:hAnsi="Times New Roman"/>
          <w:sz w:val="18"/>
          <w:szCs w:val="18"/>
          <w:color w:val="auto"/>
        </w:rPr>
        <w:t>During the nine months ended September 30, 2016, our investment in business acquisitions was $537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debt assumed of $2 million, and consisted of the acquisition of a majority interest in an Italian heating products and services company by UTC Climate, Controls &amp; Security and a number of small acquisitions, primarily in our commercial businesses.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Changes in our goodwill balances for the nine months ended September 30, 2016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8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Resulting from Business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2016</w:t>
            </w:r>
          </w:p>
        </w:tc>
        <w:tc>
          <w:tcPr>
            <w:tcW w:w="240" w:type="dxa"/>
            <w:vAlign w:val="bottom"/>
          </w:tcPr>
          <w:p>
            <w:pPr>
              <w:spacing w:after="0"/>
              <w:rPr>
                <w:sz w:val="13"/>
                <w:szCs w:val="13"/>
                <w:color w:val="auto"/>
              </w:rPr>
            </w:pPr>
          </w:p>
        </w:tc>
        <w:tc>
          <w:tcPr>
            <w:tcW w:w="14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Combinations</w:t>
            </w:r>
          </w:p>
        </w:tc>
        <w:tc>
          <w:tcPr>
            <w:tcW w:w="170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 and Other</w:t>
            </w:r>
          </w:p>
        </w:tc>
        <w:tc>
          <w:tcPr>
            <w:tcW w:w="160" w:type="dxa"/>
            <w:vAlign w:val="bottom"/>
          </w:tcPr>
          <w:p>
            <w:pPr>
              <w:spacing w:after="0"/>
              <w:rPr>
                <w:sz w:val="13"/>
                <w:szCs w:val="13"/>
                <w:color w:val="auto"/>
              </w:rPr>
            </w:pPr>
          </w:p>
        </w:tc>
        <w:tc>
          <w:tcPr>
            <w:tcW w:w="1440" w:type="dxa"/>
            <w:vAlign w:val="bottom"/>
          </w:tcPr>
          <w:p>
            <w:pPr>
              <w:jc w:val="right"/>
              <w:ind w:right="114"/>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27,419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27,422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Identifiable intangible assets are comprised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2"/>
                <w:szCs w:val="12"/>
                <w:color w:val="auto"/>
              </w:rPr>
            </w:pPr>
          </w:p>
        </w:tc>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60" w:type="dxa"/>
            <w:vAlign w:val="bottom"/>
          </w:tcPr>
          <w:p>
            <w:pPr>
              <w:spacing w:after="0"/>
              <w:rPr>
                <w:sz w:val="12"/>
                <w:szCs w:val="12"/>
                <w:color w:val="auto"/>
              </w:rPr>
            </w:pPr>
          </w:p>
        </w:tc>
        <w:tc>
          <w:tcPr>
            <w:tcW w:w="1340" w:type="dxa"/>
            <w:vAlign w:val="bottom"/>
          </w:tcPr>
          <w:p>
            <w:pPr>
              <w:jc w:val="right"/>
              <w:ind w:right="294"/>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294"/>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Service portfolios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Patents and trademarks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Collaboration intangible assets</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18,924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Trademarks and other</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20,992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Customer relationship intangible assets include payments made to our customers to secure certain contractual rights. Such payments are capitalized when there are distinct rights obtained and there are sufficient incremental cash flows to support the recoverability of the assets established. Otherwise, the applicable portion of the payments are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We classify amortization of such payments as a reduction of sales. The collaboration intangible assets are amortized based upon the pattern of economic benefits as represented by the underlying cash flows.</w:t>
      </w:r>
    </w:p>
    <w:p>
      <w:pPr>
        <w:spacing w:after="0" w:line="8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quarter and nine months ended September 30, 2016 was $197 million and $578 million, respectively, compared with $183 million and $537 million for the same periods of 2015. The following is the expected amortization of intangible assets for the years 2016 through 2021, which reflects the pattern of expected economic benefit on certain aerospace intangible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Remaining 2016</w:t>
            </w:r>
          </w:p>
        </w:tc>
        <w:tc>
          <w:tcPr>
            <w:tcW w:w="280" w:type="dxa"/>
            <w:vAlign w:val="bottom"/>
          </w:tcPr>
          <w:p>
            <w:pPr>
              <w:spacing w:after="0"/>
              <w:rPr>
                <w:sz w:val="13"/>
                <w:szCs w:val="13"/>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November 6, 2015, we completed the sale of Sikorsky to Lockheed Martin Corp. Accordingly, the results of operations and the cash flows related to Sikorsky have been reclassified to Discontinued Operations in our Condensed Consolidated Statements of Operations and Comprehensive Income for the quarters and nine months ended September 30, 2015, and in our Condensed Consolidated Statement of Cash Flows for the nine months ended September 30, 2015. In the nine months ended September 30, 2016, we recognized approximately $11 million of additional gain on the disposal, primarily resulting from the settlement of working capital adjustments. In the quarter and nine months ended September 30, 2016, we recognized approximately $40 million of income tax benefit and $12 million of income tax expense, respectively, including the impacts related to filing Sikorsky's 2015 tax returns. Net cash outflows from discontinued operations of approximately $2.5 billion for the nine months ended September 30, 2016 were primarily due to the payment of taxes related to the 2015 gain realized on the sale of Sikorsky.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summarized financial information related to Sikorsky has been segregated from continuing operations and reported as Discontinued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Income (Expense)</w:t>
            </w: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Pension curtailment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gain on disposal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2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24"/>
                <w:szCs w:val="24"/>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 shares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822.4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824.0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882.1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Stock awards and equity units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893.6</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(Loss) Per Share of Common Stock - Basic:</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4"/>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Earnings (Loss) Per Share of Common Stock -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shareowners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For the quarter and nine months ended September 30, 2016, the number of stock awards excluded from the computation was approximately 12.2 million and 15.0 million, respectively. For the quarter and nine months ended September 30, 2015, the number of stock awards excluded from the computation was approximately 10.3 million and 8.8 million, respectively.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 and Contracts in Progress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3"/>
                <w:szCs w:val="13"/>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2,037</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2,422</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3,183</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Contracts in progress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8,668</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16,310</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Progress payments, secured by lien, on U.S. Government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40" w:type="dxa"/>
            <w:vAlign w:val="bottom"/>
          </w:tcPr>
          <w:p>
            <w:pPr>
              <w:spacing w:after="0"/>
              <w:rPr>
                <w:sz w:val="21"/>
                <w:szCs w:val="21"/>
                <w:color w:val="auto"/>
              </w:rPr>
            </w:pPr>
          </w:p>
        </w:tc>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Billings on contracts in progress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Included within inventory are capitalized contract development costs related to certain aerospace programs at UTC Aerospace Systems. As of September 30, 2016 and December 31, 2015, these capitalized costs were $148 million and $152 million, respectively, which will be liquidated as production units are delivered to the customer. Within commercial aerospace, inventory costs attributable to new engine offerings are recognized based on the average cost per unit expected over the life of each contract using the units-of-delivery method of percentage of completion accounting. Under this method, costs of initial engine deliveries in excess of the projected contract per unit average cost are capitalized, and these capitalized amounts are subsequently expensed as additional engine deliveries occur for engines with costs below the projected contract per unit average cost over the life of the contract. As of September 30, 2016 and December 31, 2015, inventory included $144 million and $13 million, respectively, of such capitalized amounts.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Borrowings and Lines of Credit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3"/>
                <w:szCs w:val="13"/>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2016, we had revolving credit agreements with various banks permitting aggregate borrowings of up to $4.35 billion, pursuant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 billion revolving credit agreement and a $2.15 billion multicurrency revolving credit agreement, both of which expire in August 2021. As of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2016, there were no borrowings under these revolving credit agreements. The undrawn portions of these revolving credit agreements are also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as backup facilities for the issuance of commercial paper. As of September 30, 2016, our maximum commercial paper borrowing limit was</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$4.35 billion.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22, 2016, we issued €950 million aggregate principal amount of 1.125% notes due 2021, €500 million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1.875% notes due 2026 and €750 million aggregate principal amount of floating rate notes due 2018. The net proceeds from these debt issuances were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general corporate purposes.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3"/>
                <w:szCs w:val="13"/>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4"/>
        </w:trPr>
        <w:tc>
          <w:tcPr>
            <w:tcW w:w="812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5.375% notes due 2017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1.800% notes due 2017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Floating rate notes due 2018 (€750 million principal value)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1.778% junior subordinated notes due 2018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6.800% notes due 2018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6.125% notes due 2019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8.875% notes due 2019</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2020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4.875% notes due 2020</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1.125% notes due 2021 (€950 million principal value) </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8.750% notes due 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3.100% notes due 2022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1.250% notes due 2023 (€750 million principal value) </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1.875% notes due 2026 (€500 million principal value) </w:t>
            </w:r>
            <w:r>
              <w:rPr>
                <w:rFonts w:ascii="Times New Roman" w:cs="Times New Roman" w:eastAsia="Times New Roman" w:hAnsi="Times New Roman"/>
                <w:sz w:val="25"/>
                <w:szCs w:val="25"/>
                <w:color w:val="auto"/>
                <w:vertAlign w:val="superscript"/>
              </w:rPr>
              <w:t>3</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7.100% notes due 2027</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6.700% notes due 2028</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7.500% notes due 2029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5.400% notes due 2035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6.050% notes due 2036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6.800% notes due 2036</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7.000% notes due 2038</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6.125% notes due 2038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5.700% notes due 2040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8120" w:type="dxa"/>
            <w:vAlign w:val="bottom"/>
            <w:gridSpan w:val="3"/>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4.500% notes due 2042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r>
      <w:tr>
        <w:trPr>
          <w:trHeight w:val="270"/>
        </w:trPr>
        <w:tc>
          <w:tcPr>
            <w:tcW w:w="8120" w:type="dxa"/>
            <w:vAlign w:val="bottom"/>
            <w:gridSpan w:val="3"/>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4.150% notes due 2045 </w:t>
            </w:r>
            <w:r>
              <w:rPr>
                <w:rFonts w:ascii="Times New Roman" w:cs="Times New Roman" w:eastAsia="Times New Roman" w:hAnsi="Times New Roman"/>
                <w:sz w:val="25"/>
                <w:szCs w:val="25"/>
                <w:color w:val="auto"/>
                <w:vertAlign w:val="superscript"/>
              </w:rPr>
              <w:t>4</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Project financing obligations</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(including capitalized leases)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306</w:t>
            </w: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principal long-term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(fair market value adjustments and discounts)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21,794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19,499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w:t>
            </w:r>
          </w:p>
        </w:tc>
      </w:tr>
      <w:tr>
        <w:trPr>
          <w:trHeight w:val="25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 w:lineRule="exact"/>
        <w:rPr>
          <w:sz w:val="20"/>
          <w:szCs w:val="20"/>
          <w:color w:val="auto"/>
        </w:rPr>
      </w:pPr>
    </w:p>
    <w:p>
      <w:pPr>
        <w:ind w:left="340" w:hanging="332"/>
        <w:spacing w:after="0" w:line="258" w:lineRule="auto"/>
        <w:tabs>
          <w:tab w:leader="none" w:pos="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redeem the above notes, in whole or in part, at our option at any time at a redemption price in U.S. Dollars equal to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10-50 basis points. The redemption price will also include interest accrued to the date of redemption on the principal balance of the notes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-501650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340" w:right="200" w:hanging="332"/>
        <w:spacing w:after="0" w:line="281" w:lineRule="auto"/>
        <w:tabs>
          <w:tab w:leader="none" w:pos="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These notes bear interest at the three-month EURIBOR rate plus 0.800%, established quarterly. The interest rate in effect at September 30, 2016 was 0.501%. The notes may be redeemed at our option in whole, but not in part, at any time in the event of certain developments affecting U.S. taxation.</w:t>
      </w:r>
    </w:p>
    <w:p>
      <w:pPr>
        <w:spacing w:after="0" w:line="1" w:lineRule="exact"/>
        <w:rPr>
          <w:sz w:val="20"/>
          <w:szCs w:val="20"/>
          <w:color w:val="auto"/>
        </w:rPr>
      </w:pPr>
    </w:p>
    <w:p>
      <w:pPr>
        <w:ind w:left="340" w:right="140" w:hanging="332"/>
        <w:spacing w:after="0" w:line="255" w:lineRule="auto"/>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redeem these notes, in whole or in part, at our option at any time. If redeemed earlier than three months prior to the stated maturity date, the redemption price in Euro shall equal the greater of 100% of the principal amount of the notes to be redeemed or the sum of the present values of the remaining scheduled payments of principal and interest on the notes to be redeemed, discounted to the redemption date on an annual basis at a rate based upon a comparable German federal government bond whose maturity is closest to the maturity of the notes plus 15-30 basis points. In addition, the notes may be redeemed at our option in whole, but not in part, at any time in the event of certain developments affecting U.S. taxation.</w:t>
      </w:r>
    </w:p>
    <w:p>
      <w:pPr>
        <w:spacing w:after="0" w:line="22" w:lineRule="exact"/>
        <w:rPr>
          <w:sz w:val="20"/>
          <w:szCs w:val="20"/>
          <w:color w:val="auto"/>
        </w:rPr>
      </w:pPr>
    </w:p>
    <w:p>
      <w:pPr>
        <w:ind w:left="340" w:right="60" w:hanging="332"/>
        <w:spacing w:after="0" w:line="263"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We may redeem these notes, in whole or in part, at our option at any time. If redeemed prior to November 16, 2044, the redemption price in U.S. Dollars shall equal the greater of 100% of the principal amount of the notes to be redeemed or the sum of the present values of the remaining scheduled payments of principal and interest on the notes to be redeemed, discounted to the redemption date on a semiannual basis at the adjusted treasury rate plus 25 basis points.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On April 29, 2016, we renewed our universal shelf registration statement filed with the Securities and Exchange Commission (SEC) for an indeterminate amount of equity and debt securities for future issuance, subject to our internal limitations on the amount of equity and debt to be issued under this shelf registration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Canada, China, France, Germany, Hong Kong, Italy, Japan, Singapore, South Korea, Spain, the United Kingdom and the United States. With few exceptions, we are no longer subject to U.S. federal, state and local, or non-U.S. income tax examinations for years before 2003.</w:t>
      </w:r>
    </w:p>
    <w:p>
      <w:pPr>
        <w:spacing w:after="0" w:line="18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It is reasonably possible that a net reduction within a range of $100 million to $685 million of unrecognized tax benefits may occur within the next 12 months as a result of additional worldwide uncertain tax positions, the revaluation of current uncertain tax positions arising from developments in examinations, in appeals, in the courts, or the closure of tax statutes. See Note 15, Contingent Liabilities, for discussion regarding uncertain tax positions, included in the above range, related to pending litigation with respect to certain deductions claimed in Germany.</w:t>
      </w:r>
    </w:p>
    <w:p>
      <w:pPr>
        <w:spacing w:after="0" w:line="18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During the quarter, the Company recognized a non-cash benefit of approximately $58 million, primarily tax, as a result of the closure of the audit by the Examination Division of the Internal Revenue Service of Goodrich Corporation tax years 2011 and 2012 through the date of acquisition by UTC. UTC tax years 2011 and 2012 are currently under review by the Examination Division of the Internal Revenue Service. Completion of that examination is possible within the next 3 to 6 months and could result in related non-cash gains, primarily tax, in the range of $150 million to $275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Benefit Plans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Pension and Postretirement Plans. </w:t>
      </w:r>
      <w:r>
        <w:rPr>
          <w:rFonts w:ascii="Times New Roman" w:cs="Times New Roman" w:eastAsia="Times New Roman" w:hAnsi="Times New Roman"/>
          <w:sz w:val="18"/>
          <w:szCs w:val="18"/>
          <w:color w:val="auto"/>
        </w:rPr>
        <w:t>We sponsor both funded and unfunded domestic and foreign defined pension and other postretirement benefit plans,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contribution plans. Contributions to our plans were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Defined benefit plans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5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9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2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There were no contributions to our domestic defined benefit pension plans in the quarters and nine months ended September 30, 2016 and 2015. The following table illustrates the components of net periodic benefit cost for our defined pension and other postretirement benefit plans: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20" w:type="dxa"/>
            <w:vAlign w:val="bottom"/>
          </w:tcPr>
          <w:p>
            <w:pPr>
              <w:spacing w:after="0"/>
              <w:rPr>
                <w:sz w:val="16"/>
                <w:szCs w:val="16"/>
                <w:color w:val="auto"/>
              </w:rPr>
            </w:pPr>
          </w:p>
        </w:tc>
        <w:tc>
          <w:tcPr>
            <w:tcW w:w="25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loss</w:t>
            </w:r>
          </w:p>
        </w:tc>
        <w:tc>
          <w:tcPr>
            <w:tcW w:w="3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53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95"/>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actuarial net loss (gain)</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settlement and curtailment loss</w:t>
            </w:r>
          </w:p>
        </w:tc>
        <w:tc>
          <w:tcPr>
            <w:tcW w:w="2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Net settlements and curtailment losses for pension benefits include curtailment losses of approximately $110 million related to, and recorded in, discontinued operations for the quarter and nine months ended September 30, 2015. Total net periodic benefit cost in the table above includes approximately $25 million and $74 million related to, and recorded in, discontinued operations for the quarter and nine months ended September 30, 2015, respectively.</w:t>
      </w:r>
    </w:p>
    <w:p>
      <w:pPr>
        <w:spacing w:after="0" w:line="50"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2015, we changed the approach we use to estimate the service and interest components of net periodic pension cost for our significant pension plans. Historically, we estimated the service and interest cost components utilizing a single weighted-average discount rate derived from the yield curve used to measure the benefit obligation at the beginning of the period. We elected to utilize a full yield curve approach in the estimation of these components by applying the specific spot rates along the yield curve used in determination of the benefit obligation to the relevant projected cash flows. We made this change to provide a more precise measurement of service and interest costs by improving the correlation between projected benefit cash flows to the corresponding spot yield curve rates. This change does not affect the measurement of our total benefit obligations. The discount rates used to measure service cost and interest cost during 2016 are 3.9% and 3.5%, respectively. The previous method would have used a discount rate for both service and interest costs of 4.1%. This change decreases the service and interest cost components of our annual net periodic pension cost by approximately $215 million for 2016. We have accounted for this change as a change in accounting estimate and, accordingly, have accounted for it prospectively, effective January 1, 2016.</w:t>
      </w:r>
    </w:p>
    <w:p>
      <w:pPr>
        <w:spacing w:after="0" w:line="189"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As part of our long-term strategy to de-risk our defined benefit pension plans, we entered into an agreement to purchase a group annuity contract to transfer approximately $775 million of our outstanding pension benefit obligations related to certain U.S. retirees or beneficiaries, which was finalized on October 12, 2016. We have also offered certain former U.S. employees or beneficiaries with a vested pension benefit an option to take a one-time lump sum distribution in lieu of future monthly pension payments, which is expected to reduce our pension benefit obligations by approximately $995 million by the end of 2016. These transactions are expected to reduce the assets of our defined benefit pension plans by approximately $1.5 billion. As a result of these transactions, we expect to recognize a one-time pre-tax pension settlement charge in the range of $400 million to $530 million in the fourth quarter of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Costs</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recorded net pre-tax restructuring costs totaling $201 million for new and ongoing restructuring actions. We recorded charges in the segments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652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5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5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5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5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4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9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980" w:type="dxa"/>
            <w:vAlign w:val="bottom"/>
            <w:vMerge w:val="restart"/>
          </w:tcPr>
          <w:p>
            <w:pPr>
              <w:jc w:val="right"/>
              <w:ind w:right="4170"/>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Restructuring charges incurred during the nine months ended September 30, 2016 primarily relate to actions initiated during 2016 and 2015, and were recorded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10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10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2016 Actions. </w:t>
      </w:r>
      <w:r>
        <w:rPr>
          <w:rFonts w:ascii="Times New Roman" w:cs="Times New Roman" w:eastAsia="Times New Roman" w:hAnsi="Times New Roman"/>
          <w:sz w:val="18"/>
          <w:szCs w:val="18"/>
          <w:color w:val="auto"/>
        </w:rPr>
        <w:t>During the nine months ended September 30, 2016, we recorded net pre-tax restructuring costs totaling $143 million, including $71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of sales, $46 million in selling, general and administrative expenses and $26 million in other expense. The 2016 actions relate to ongoing cost reduction efforts, including workforce reductions, consolidation of field operations, and costs to exit legacy programs.</w:t>
      </w:r>
    </w:p>
    <w:p>
      <w:pPr>
        <w:spacing w:after="0" w:line="175"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We are targeting the majority of the remaining workforce and all facility related cost reduction actions for completion during 2016 and 2017. No specific plans for significant other actions have been finalized at this time. The following table summarizes the accrual balance and utilization for the 2016 restructuring actions for the quarter and nine months ended September 30,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Facility Exit, Lease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0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accruals at June 30, 2016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Utilization and foreign exchange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2016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4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120" w:type="dxa"/>
            <w:vAlign w:val="bottom"/>
            <w:gridSpan w:val="3"/>
            <w:vMerge w:val="continue"/>
          </w:tcPr>
          <w:p>
            <w:pPr>
              <w:spacing w:after="0"/>
              <w:rPr>
                <w:sz w:val="13"/>
                <w:szCs w:val="13"/>
                <w:color w:val="auto"/>
              </w:rPr>
            </w:pPr>
          </w:p>
        </w:tc>
        <w:tc>
          <w:tcPr>
            <w:tcW w:w="1000" w:type="dxa"/>
            <w:vAlign w:val="bottom"/>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4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3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10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2015 Actions. </w:t>
      </w:r>
      <w:r>
        <w:rPr>
          <w:rFonts w:ascii="Times New Roman" w:cs="Times New Roman" w:eastAsia="Times New Roman" w:hAnsi="Times New Roman"/>
          <w:sz w:val="18"/>
          <w:szCs w:val="18"/>
          <w:color w:val="auto"/>
        </w:rPr>
        <w:t>During the nine months ended September 30, 2016, we recorded net pre-tax restructuring costs totaling $44 million for restructuring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initiated in 2015, including $35 million in cost of sales and $9 million in selling, general and administrative expenses. The 2015 actions relate to ongoing cost reduction efforts, including workforce reductions and the consolidation of field operations. The following table summarizes the accrual balances and utilization for the 2015 restructuring actions for the quarter and nine months ended September 30, 2016: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7080" w:type="dxa"/>
            <w:vAlign w:val="bottom"/>
            <w:gridSpan w:val="4"/>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Facility Exit,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and</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70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Other Costs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Restructuring accruals at June 30, 2016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Restructuring accruals at December 31, 2015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pre-tax 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7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Utilization and foreign exchange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expected, incurred and remaining costs for the 2015 restructuring actions by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12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Costs Incurred in</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Reversals Quarter</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2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40" w:type="dxa"/>
            <w:vAlign w:val="bottom"/>
            <w:gridSpan w:val="3"/>
            <w:vMerge w:val="continue"/>
          </w:tcPr>
          <w:p>
            <w:pPr>
              <w:spacing w:after="0"/>
              <w:rPr>
                <w:sz w:val="13"/>
                <w:szCs w:val="13"/>
                <w:color w:val="auto"/>
              </w:rPr>
            </w:pPr>
          </w:p>
        </w:tc>
        <w:tc>
          <w:tcPr>
            <w:tcW w:w="1000" w:type="dxa"/>
            <w:vAlign w:val="bottom"/>
          </w:tcPr>
          <w:p>
            <w:pPr>
              <w:jc w:val="right"/>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Costs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45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48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3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10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473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2016, we had reversals of previously accrued restructuring reserves of approximately $32 million, the majority of which related to a Pratt &amp; Whitney business that was sold in the third quarter of 2016 after originally being scheduled for closure.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2014 and Prior Actions. </w:t>
      </w:r>
      <w:r>
        <w:rPr>
          <w:rFonts w:ascii="Times New Roman" w:cs="Times New Roman" w:eastAsia="Times New Roman" w:hAnsi="Times New Roman"/>
          <w:sz w:val="18"/>
          <w:szCs w:val="18"/>
          <w:color w:val="auto"/>
        </w:rPr>
        <w:t>As of September 30, 2016, we have approximately $42 million of accrual balances remaining related to 2014 and prior 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Financial Instruments</w:t>
      </w:r>
    </w:p>
    <w:p>
      <w:pPr>
        <w:spacing w:after="0" w:line="22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4"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four quarter rolling average of the notional amount of foreign exchange contracts hedging foreign currency transactions was $18.0 billion and $15.6 billion at September 30, 2016 and December 31, 2015, respectively.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 instruments as of September 30, 2016 and December 31, 2015 which consist solely of foreign exchange contracts: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580" w:type="dxa"/>
            <w:vAlign w:val="bottom"/>
            <w:tcBorders>
              <w:bottom w:val="single" w:sz="8" w:color="auto"/>
            </w:tcBorders>
          </w:tcPr>
          <w:p>
            <w:pPr>
              <w:spacing w:after="0"/>
              <w:rPr>
                <w:sz w:val="16"/>
                <w:szCs w:val="16"/>
                <w:color w:val="auto"/>
              </w:rPr>
            </w:pP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50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17"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As discussed in Note 5, we have issued approximately €2.95 billion of Euro-denominated debt, which qualifies as a net investment hedge against our investments in European businesses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September 30, 2016, the net investment hedge is deemed to be effective.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 of gains and losses related to the Company's derivative financial instruments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gain recorded in Accumulated other comprehensive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5"/>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reclassified from Accumulated other comprehensive loss into Product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sales (effective portion)</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164</w:t>
            </w:r>
          </w:p>
        </w:tc>
      </w:tr>
    </w:tbl>
    <w:p>
      <w:pPr>
        <w:spacing w:after="0" w:line="11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Assuming current market conditions continue, a $53 million pre-tax loss is expected to be reclassified from Accumulated other comprehensive loss into Product sales to reflect the fixed prices obtained from foreign exchange hedging within the next 12 months. At September 30, 2016, all derivative contracts accounted for as cash flow hedges will mature by November 2022.</w:t>
      </w:r>
    </w:p>
    <w:p>
      <w:pPr>
        <w:spacing w:after="0" w:line="176" w:lineRule="exact"/>
        <w:rPr>
          <w:sz w:val="20"/>
          <w:szCs w:val="20"/>
          <w:color w:val="auto"/>
        </w:rPr>
      </w:pPr>
    </w:p>
    <w:p>
      <w:pPr>
        <w:ind w:right="640" w:firstLine="432"/>
        <w:spacing w:after="0" w:line="282" w:lineRule="auto"/>
        <w:rPr>
          <w:sz w:val="20"/>
          <w:szCs w:val="20"/>
          <w:color w:val="auto"/>
        </w:rPr>
      </w:pPr>
      <w:r>
        <w:rPr>
          <w:rFonts w:ascii="Times New Roman" w:cs="Times New Roman" w:eastAsia="Times New Roman" w:hAnsi="Times New Roman"/>
          <w:sz w:val="18"/>
          <w:szCs w:val="18"/>
          <w:color w:val="auto"/>
        </w:rPr>
        <w:t>The effect on the Condensed Consolidated Statement of Operations of foreign exchange contracts not designated as hedging instruments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recognized in Other income, net</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We paid $29 million and received $147 million from settlements of derivative contracts during the nine months ended September 30, 2016 and 2015,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ASC 820, the following tables provide the valuation hierarchy classification of assets and liabilities that are carried at fair value and measured on a recurring and nonrecurring basis in our Condensed Consolidated Balance Sheet as of September 30, 2016 and December 31,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 (Dollars in millions)</w:t>
            </w:r>
          </w:p>
        </w:tc>
        <w:tc>
          <w:tcPr>
            <w:tcW w:w="320" w:type="dxa"/>
            <w:vAlign w:val="bottom"/>
          </w:tcPr>
          <w:p>
            <w:pPr>
              <w:spacing w:after="0"/>
              <w:rPr>
                <w:sz w:val="13"/>
                <w:szCs w:val="1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5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2015 (Dollars in millions)</w:t>
            </w:r>
          </w:p>
        </w:tc>
        <w:tc>
          <w:tcPr>
            <w:tcW w:w="3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Recurring fair value measurements: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11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Valuation Techniques. </w:t>
      </w:r>
      <w:r>
        <w:rPr>
          <w:rFonts w:ascii="Times New Roman" w:cs="Times New Roman" w:eastAsia="Times New Roman" w:hAnsi="Times New Roman"/>
          <w:sz w:val="18"/>
          <w:szCs w:val="18"/>
          <w:color w:val="auto"/>
        </w:rPr>
        <w:t>Our available-for-sale securities include equity investments that are traded in active markets, either domestically or internationally,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measured at fair value using closing stock prices from active markets. Our derivative assets and liabilities include foreign exchange contracts and commodity derivatives that are measured at fair value using internal models based on observable market inputs such as forward rates, interest rates, our own credit risk and our counterparties' credit risks. As of September 30, 2016, there were no significant transfers in and out of Level 1 and Level 2.</w:t>
      </w:r>
    </w:p>
    <w:p>
      <w:pPr>
        <w:sectPr>
          <w:pgSz w:w="11900" w:h="16838" w:orient="portrait"/>
          <w:cols w:equalWidth="0" w:num="1">
            <w:col w:w="11420"/>
          </w:cols>
          <w:pgMar w:left="240" w:top="118"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2016,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carrying amounts and fair values of financial instruments that are not carried at fair value in our Condensed Consolidated Balance Sheet at September 30, 2016 and December 31,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06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0"/>
        </w:trPr>
        <w:tc>
          <w:tcPr>
            <w:tcW w:w="562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3"/>
                <w:szCs w:val="13"/>
                <w:color w:val="auto"/>
              </w:rPr>
            </w:pPr>
          </w:p>
        </w:tc>
        <w:tc>
          <w:tcPr>
            <w:tcW w:w="1060" w:type="dxa"/>
            <w:vAlign w:val="bottom"/>
          </w:tcPr>
          <w:p>
            <w:pPr>
              <w:jc w:val="right"/>
              <w:ind w:right="415"/>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2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 (excluding capitalized leases)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valuation hierarchy classification of assets and liabilities that are not carried at fair value in our Condensed Consolidated Balance Sheet as of September 30,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3"/>
                <w:szCs w:val="13"/>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3"/>
                <w:szCs w:val="13"/>
                <w:color w:val="auto"/>
              </w:rPr>
            </w:pPr>
          </w:p>
        </w:tc>
        <w:tc>
          <w:tcPr>
            <w:tcW w:w="148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receivables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Customer financing notes receivable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 (excluding capitalized leases)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had commercial aerospace financing and other contractual commitments totaling approximately $14.5 billion and $14.6 billion as of September 30, 2016 and December 31, 2015, respectively, related to commercial aircraft and certain contractual rights to provide product on new aircraft platforms.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Financing Receivables</w:t>
      </w:r>
    </w:p>
    <w:p>
      <w:pPr>
        <w:spacing w:after="0" w:line="229" w:lineRule="exact"/>
        <w:rPr>
          <w:sz w:val="20"/>
          <w:szCs w:val="20"/>
          <w:color w:val="auto"/>
        </w:rPr>
      </w:pPr>
    </w:p>
    <w:p>
      <w:pPr>
        <w:ind w:right="300" w:firstLine="567"/>
        <w:spacing w:after="0" w:line="266" w:lineRule="auto"/>
        <w:rPr>
          <w:sz w:val="20"/>
          <w:szCs w:val="20"/>
          <w:color w:val="auto"/>
        </w:rPr>
      </w:pPr>
      <w:r>
        <w:rPr>
          <w:rFonts w:ascii="Times New Roman" w:cs="Times New Roman" w:eastAsia="Times New Roman" w:hAnsi="Times New Roman"/>
          <w:sz w:val="18"/>
          <w:szCs w:val="18"/>
          <w:color w:val="auto"/>
        </w:rPr>
        <w:t>Our long-term financing receivables primarily represent balances related to our aerospace businesses, such as long-term trade accounts receivable, leases receivable, and notes receivable. We also have other long-term receivables related to our commercial businesses; however, both the individual and aggregate amounts of those other receivables are not significant.</w:t>
      </w:r>
    </w:p>
    <w:p>
      <w:pPr>
        <w:spacing w:after="0" w:line="68" w:lineRule="exact"/>
        <w:rPr>
          <w:sz w:val="20"/>
          <w:szCs w:val="20"/>
          <w:color w:val="auto"/>
        </w:rPr>
      </w:pPr>
    </w:p>
    <w:p>
      <w:pPr>
        <w:ind w:right="140" w:firstLine="567"/>
        <w:spacing w:after="0" w:line="258" w:lineRule="auto"/>
        <w:rPr>
          <w:sz w:val="20"/>
          <w:szCs w:val="20"/>
          <w:color w:val="auto"/>
        </w:rPr>
      </w:pPr>
      <w:r>
        <w:rPr>
          <w:rFonts w:ascii="Times New Roman" w:cs="Times New Roman" w:eastAsia="Times New Roman" w:hAnsi="Times New Roman"/>
          <w:sz w:val="18"/>
          <w:szCs w:val="18"/>
          <w:color w:val="auto"/>
        </w:rPr>
        <w:t>Long-term trade accounts receivable, including unbilled receivables related to long-term aftermarket contracts, are principally amounts arising from the sale of goods and delivery of services with a contractual maturity date or realization period of greater than one year, and are recognized as "Other assets" in our Condensed Consolidated Balance Sheet. Notes and leases receivable represent notes and lease receivables other than receivables related to operating leases, and are recognized as "Customer financing assets" in our Condensed Consolidated Balance Sheet. The following table summarizes the balance by class of aerospace business related long-term receivables as of September 30, 2016 and December 31,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00" w:type="dxa"/>
            <w:vAlign w:val="bottom"/>
          </w:tcPr>
          <w:p>
            <w:pPr>
              <w:spacing w:after="0"/>
              <w:rPr>
                <w:sz w:val="13"/>
                <w:szCs w:val="13"/>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7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Notes and leases receivable</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receivables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40" w:firstLine="540"/>
        <w:spacing w:after="0" w:line="261" w:lineRule="auto"/>
        <w:rPr>
          <w:sz w:val="20"/>
          <w:szCs w:val="20"/>
          <w:color w:val="auto"/>
        </w:rPr>
      </w:pPr>
      <w:r>
        <w:rPr>
          <w:rFonts w:ascii="Times New Roman" w:cs="Times New Roman" w:eastAsia="Times New Roman" w:hAnsi="Times New Roman"/>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11% and 13% of our total long-term receivables were considered to bear high credit risk as of September 30, 2016 and December 31, 2015, respectively.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00" w:firstLine="540"/>
        <w:spacing w:after="0" w:line="261" w:lineRule="auto"/>
        <w:rPr>
          <w:sz w:val="20"/>
          <w:szCs w:val="20"/>
          <w:color w:val="auto"/>
        </w:rPr>
      </w:pPr>
      <w:r>
        <w:rPr>
          <w:rFonts w:ascii="Times New Roman" w:cs="Times New Roman" w:eastAsia="Times New Roman" w:hAnsi="Times New Roman"/>
          <w:sz w:val="18"/>
          <w:szCs w:val="18"/>
          <w:color w:val="auto"/>
        </w:rPr>
        <w:t>For long-term trade accounts receivable, we evaluate credit risk and collectability individually to determine if an allowance is necessary. Our long-term receivables reflected in the table above, which include reserves of $17 million and $18 million as of September 30, 2016 and December 31, 2015, respectively, are individually evaluated for impairment. At September 30, 2016 and December 31, 2015, we did not have any significant balances that are considered to be delinquent, on non-accrual status, past due 90 days or more, or considered to be not recoverable.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Shareowners' Equity and Noncontrolling Interest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changes in shareowners' equity and noncontrolling interest comprising total equity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and 2015 is provided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Share-owners'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Share-owners'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issued - equity unit remarketing</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under employee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 of subsidiary shares from noncontrolling interest</w:t>
            </w:r>
          </w:p>
        </w:tc>
        <w:tc>
          <w:tcPr>
            <w:tcW w:w="2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end of period</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30,764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3"/>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Share-owners'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Share-owners'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70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200" w:type="dxa"/>
            <w:vAlign w:val="bottom"/>
          </w:tcPr>
          <w:p>
            <w:pPr>
              <w:spacing w:after="0"/>
              <w:rPr>
                <w:sz w:val="13"/>
                <w:szCs w:val="13"/>
                <w:color w:val="auto"/>
              </w:rPr>
            </w:pPr>
          </w:p>
        </w:tc>
        <w:tc>
          <w:tcPr>
            <w:tcW w:w="92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3"/>
                <w:szCs w:val="13"/>
                <w:color w:val="auto"/>
              </w:rPr>
            </w:pPr>
          </w:p>
        </w:tc>
        <w:tc>
          <w:tcPr>
            <w:tcW w:w="9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3"/>
                <w:szCs w:val="13"/>
                <w:color w:val="auto"/>
              </w:rPr>
            </w:pPr>
          </w:p>
        </w:tc>
        <w:tc>
          <w:tcPr>
            <w:tcW w:w="820" w:type="dxa"/>
            <w:vAlign w:val="bottom"/>
          </w:tcPr>
          <w:p>
            <w:pPr>
              <w:jc w:val="right"/>
              <w:ind w:right="212"/>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beginning of period</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Comprehensive income for the period:</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comprehensive income for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Stock issued - equity unit remarketing</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issued under employee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Dividends on ESOP Common Stock</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(Purchase) sale of subsidiary shares from noncontrolling</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Disposition of noncontrolling interest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Equity, end of period</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29,187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30,764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30,525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On March 13, 2015, we entered into accelerated share repurchase (ASR) agreements to repurchase an aggregate of $2.65 billion of our common stock. Under the terms of the ASR agreements, we made the aggregate payments and received an initial delivery of 18.6 million shares of common stock, representing approximately 85% of the shares expected to be repurchased. On July 31, 2015, the shares associated with the remaining portion of the aggregate purchase were settled upon final delivery to us of approximately 4.2 million additional shares of common stock. Including the remaining shares settled on July 31, 2015, the final price under the ASR was $116.11 per share.</w:t>
      </w:r>
    </w:p>
    <w:p>
      <w:pPr>
        <w:spacing w:after="0" w:line="7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August 3, 2015, we received approximately $1.1 billion from the proceeds of the previously disclosed remarketing of our 1.550% junior subordinated notes, which were originally issued as part of our equity units on June 18, 2012, and issued approximately 11.3 million shares of common stock to settle the purchase obligation of the holders of the equity units under the purchase contract entered into at the time of the original issuance of the equity units.</w:t>
      </w:r>
    </w:p>
    <w:p>
      <w:pPr>
        <w:spacing w:after="0" w:line="7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agreements, less a discount and subject to adjustments pursuant to the terms and conditions of the ASR agreements.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have been settled over six tranches. On January 19, 2016, the shares associated with the remaining portion of the first tranche of the aggregate purchase were settled upon final delivery to us of approximately 2.1 million shares of common stock. On September 14 and 15, 2016, the shares associated with the remaining portion of the remaining five tranches of the aggregate purchase were settled upon final delivery to us of approximately 8 million additional shares of common stock. Including the remaining shares associated with the six tranches settled in 2016, the final price under the November 11, 2015 ASR was $96.74 per share.</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changes in each component of accumulated other comprehensive (loss) income, net of tax for the quarters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and 2015 is provided below: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0"/>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June 30, 2016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7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reclassifications, net</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September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Post-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Available-for-</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Sale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60" w:type="dxa"/>
            <w:vAlign w:val="bottom"/>
          </w:tcPr>
          <w:p>
            <w:pPr>
              <w:spacing w:after="0"/>
              <w:rPr>
                <w:sz w:val="12"/>
                <w:szCs w:val="12"/>
                <w:color w:val="auto"/>
              </w:rPr>
            </w:pPr>
          </w:p>
        </w:tc>
        <w:tc>
          <w:tcPr>
            <w:tcW w:w="120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0"/>
        </w:trPr>
        <w:tc>
          <w:tcPr>
            <w:tcW w:w="47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3"/>
                <w:szCs w:val="13"/>
                <w:color w:val="auto"/>
              </w:rPr>
            </w:pPr>
          </w:p>
        </w:tc>
        <w:tc>
          <w:tcPr>
            <w:tcW w:w="120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Quarter Ended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June 30, 2015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 2015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 net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Amounts reclassified, pre-tax</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(benefit) expense reclassified</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Balance at September 30, 2015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Amounts reclassified that relate to our defined benefit pension and postretirement plans include amortization of prior service costs and transition obligations, and actuarial net losses recognized during each period presented. These costs are recorded as components of net periodic pension cost for each period presented (see Note 7 for additional details).</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All noncontrolling interests with redemption features, such as put options, that are not solely within our control (redeemable noncontrolling interests) are reported in the mezzanine section of the Condensed Consolidated Balance Sheet, between liabilities and equity, at the greater of redemption value or initial carrying value. The increase in the value of redeemable noncontrolling interest in our Condensed Consolidated Balance Sheet as of September 30, 2016 is primarily related to the acquisition of a majority interest in an Italian heating products and services company by UTC Climate, Controls &amp; Security during the quarter ended June 30, 2016.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Changes in noncontrolling interests that do not result in a change of control, and where there is a difference between fair value and carrying value, are accounted for as equity transactions. For the quarter and nine months ended September 30, 2016, the pro-forma impact on Net income attributable to common shareowners would have been an increase of $2 million and a decrease of $4 million, respectively, had the changes been recorded through net income. For the quarter and nine months ended September 30, 2015 the pro-forma impact on Net income attributable to common shareowners would have been an increase of $1 million and $12 million, respectively, had the changes been recorded through net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Variable Interest Entities</w:t>
      </w:r>
    </w:p>
    <w:p>
      <w:pPr>
        <w:spacing w:after="0" w:line="229"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Pratt &amp; Whitney holds a 61% net collaboration interest in IAE International Aero Engines AG (IAE), and a 49.5% ownership interest in IAE. IAE's business purpose is to coordinate the design, development, manufacturing and product support of the V2500 jet engine program through involvement with the collaborators. IAE retains limited equity with the primary economics of the V2500 program passed to the participants in the separate collaboration arrangement. As such, we have determined that IAE is a variable interest entity with Pratt &amp; Whitney its primary beneficiary, and IAE has, therefore, been consolidated. The carrying amounts and classification of assets and liabilities for IAE in our Condensed Consolidated Balance Sheet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0" w:type="dxa"/>
            <w:vAlign w:val="bottom"/>
          </w:tcPr>
          <w:p>
            <w:pPr>
              <w:spacing w:after="0"/>
              <w:rPr>
                <w:sz w:val="13"/>
                <w:szCs w:val="13"/>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1,920</w:t>
            </w:r>
          </w:p>
        </w:tc>
      </w:tr>
      <w:tr>
        <w:trPr>
          <w:trHeight w:val="243"/>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1,931</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1,355</w:t>
            </w:r>
          </w:p>
        </w:tc>
      </w:tr>
      <w:tr>
        <w:trPr>
          <w:trHeight w:val="257"/>
        </w:trPr>
        <w:tc>
          <w:tcPr>
            <w:tcW w:w="40" w:type="dxa"/>
            <w:vAlign w:val="bottom"/>
          </w:tcPr>
          <w:p>
            <w:pPr>
              <w:spacing w:after="0"/>
              <w:rPr>
                <w:sz w:val="22"/>
                <w:szCs w:val="22"/>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3,286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Guarantees</w:t>
      </w:r>
    </w:p>
    <w:p>
      <w:pPr>
        <w:spacing w:after="0" w:line="22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extend a variety of financial, market value and product performance guarantees to third parties. There have been no material changes to guarantees outstanding since December 31, 2015. The changes in the carrying amount of service and product warranties and product performance guarantees for the nine months ended September 30, 2016 and 2015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3"/>
                <w:szCs w:val="13"/>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1,264</w:t>
            </w:r>
          </w:p>
        </w:tc>
      </w:tr>
      <w:tr>
        <w:trPr>
          <w:trHeight w:val="243"/>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8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40" w:firstLine="486"/>
        <w:spacing w:after="0" w:line="282" w:lineRule="auto"/>
        <w:rPr>
          <w:sz w:val="20"/>
          <w:szCs w:val="20"/>
          <w:color w:val="auto"/>
        </w:rPr>
      </w:pPr>
      <w:r>
        <w:rPr>
          <w:rFonts w:ascii="Times New Roman" w:cs="Times New Roman" w:eastAsia="Times New Roman" w:hAnsi="Times New Roman"/>
          <w:sz w:val="18"/>
          <w:szCs w:val="18"/>
          <w:color w:val="auto"/>
        </w:rPr>
        <w:t>The amounts above exclude service and product warranties and product performance guarantees related to Sikorsky of approximately $42 million as of September 30,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Contingent Liabilities</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Summarized below are the matters previously described in Note 17 of the Notes to the Consolidated Financial Statements in our 2015 Annual Report, incorporated by reference in our 2015 Form 10-K, updated as applicable.</w:t>
      </w:r>
    </w:p>
    <w:p>
      <w:pPr>
        <w:spacing w:after="0" w:line="162" w:lineRule="exact"/>
        <w:rPr>
          <w:sz w:val="20"/>
          <w:szCs w:val="20"/>
          <w:color w:val="auto"/>
        </w:rPr>
      </w:pPr>
    </w:p>
    <w:p>
      <w:pPr>
        <w:ind w:right="80" w:firstLine="432"/>
        <w:spacing w:after="0" w:line="313" w:lineRule="auto"/>
        <w:rPr>
          <w:sz w:val="20"/>
          <w:szCs w:val="20"/>
          <w:color w:val="auto"/>
        </w:rPr>
      </w:pPr>
      <w:r>
        <w:rPr>
          <w:rFonts w:ascii="Times New Roman" w:cs="Times New Roman" w:eastAsia="Times New Roman" w:hAnsi="Times New Roman"/>
          <w:sz w:val="17"/>
          <w:szCs w:val="17"/>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3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Our operations are subject to environmental regulation by federal, state and local authorities in the United States and regulatory authorities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jurisdiction over our foreign operations. As described in Note 1 to the Consolidated Financial Statements in our 2015 Annual Report, we have accrued for the costs of environmental remediation activities, including but not limited to investigatory, remediation, operating and maintenance costs and performance guaranties, and periodically reassess these amounts. We believe that the likelihood of incurring losses materially in excess of amounts accrued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ind w:right="360"/>
        <w:spacing w:after="0" w:line="282" w:lineRule="auto"/>
        <w:rPr>
          <w:sz w:val="20"/>
          <w:szCs w:val="20"/>
          <w:color w:val="auto"/>
        </w:rPr>
      </w:pPr>
      <w:r>
        <w:rPr>
          <w:rFonts w:ascii="Times New Roman" w:cs="Times New Roman" w:eastAsia="Times New Roman" w:hAnsi="Times New Roman"/>
          <w:sz w:val="18"/>
          <w:szCs w:val="18"/>
          <w:color w:val="auto"/>
        </w:rPr>
        <w:t>is remote. Additional information pertaining to environmental matters is included in Note 1 to the Consolidated Financial Statements in our 2015 Annual Report.</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In the ordinary course of business, the Company and its subsidiaries and our properties are subject to regulatory and governmental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87" w:lineRule="exact"/>
        <w:rPr>
          <w:sz w:val="20"/>
          <w:szCs w:val="20"/>
          <w:color w:val="auto"/>
        </w:rPr>
      </w:pPr>
    </w:p>
    <w:p>
      <w:pPr>
        <w:ind w:firstLine="540"/>
        <w:spacing w:after="0" w:line="255" w:lineRule="auto"/>
        <w:rPr>
          <w:sz w:val="20"/>
          <w:szCs w:val="20"/>
          <w:color w:val="auto"/>
        </w:rPr>
      </w:pPr>
      <w:r>
        <w:rPr>
          <w:rFonts w:ascii="Times New Roman" w:cs="Times New Roman" w:eastAsia="Times New Roman" w:hAnsi="Times New Roman"/>
          <w:sz w:val="18"/>
          <w:szCs w:val="18"/>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continue to litigate certain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accrued the minimum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F100 Engine Litigation</w:t>
      </w:r>
    </w:p>
    <w:p>
      <w:pPr>
        <w:spacing w:after="0" w:line="11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As previously disclosed, the United States Government sued us in 1999 in the United States District Court for the Southern District of Ohio (District Court), claiming that Pratt &amp; Whitney violated the civil False Claims Act and common law. The claims relate to the "Fighter Engine Competition" between Pratt &amp; Whitney's F100 engine and General Electric's F110 engine. The government alleged that it overpaid for F100 engines under contracts awarded by the U.S. Air Force in fiscal years 1985 through 1990 because Pratt &amp; Whitney inflated its estimated costs for some purchased parts and withheld data that would have revealed the overstatements. At trial, which ended in April 2005, the government claimed Pratt &amp; Whitney's liability to be approximately $624 million. On August 1, 2008, the trial court held that the Air Force had not suffered any actual damages because Pratt &amp; Whitney had made significant price concessions after the alleged overstatements were made. However, the trial court judge found that Pratt &amp; Whitney violated the False Claims Act due to inaccurate statements contained in its 1983 initial engine pricing proposal. In the absence of actual damages, the trial court awarded the government the maximum civil penalty of $7,090,000, or $10,000 for each of the 709 invoices Pratt &amp; Whitney submitted in 1989 and later under the contracts. In September 2008, both the government and UTC appealed the decision to the United States Court of Appeals for the Sixth Circuit. In November 2010, the Sixth Circuit affirmed Pratt &amp; Whitney's liability for the civil penalty under the False Claims Act, but remanded the case to the trial court for further proceedings on the issues of False Claims Act damages and common law liability and damages.</w:t>
      </w:r>
    </w:p>
    <w:p>
      <w:pPr>
        <w:spacing w:after="0" w:line="19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On June 18, 2012, the trial court found that Pratt &amp; Whitney had breached obligations imposed by common law based on the same conduct with respect to which the court previously found liability under the False Claims Act. Under the common law claims, the U.S. Air Force seeks damages for events occurring before March 3, 1989, which are not recoverable under the False Claims Act.</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June 17, 2013, the trial court awarded the government approximately $473 million in damages and penalties, plus prejudgment interest in an amount to be determined. On July 1, 2013, the trial court, after determining the amount of prejudgment interest, entered judgment in favor of the government in the amount of approximately $664 million. The trial court also awarded post-judgment interest on the full amount of the judgment to accrue from July 2, 2013, at the federal variable interest rate determined pursuant to 28 U.S.C. § 1961. The judgment included four different components: (1) common law damages of approximately $109 million; (2) prejudgment interest on common law damages of approximately $191 million; (3) False Claims Act treble damages of approximately $357 million; and (4) the civil penalty of approximately $7 million. The penalty component of the judgment previously was affirmed by the United States Court of Appeals in 2010.</w:t>
      </w:r>
    </w:p>
    <w:p>
      <w:pPr>
        <w:spacing w:after="0" w:line="18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We filed an appeal from the judgment to the United States Court of Appeals for the Sixth Circuit on August 26, 2013. On April 6, 2015, the Sixth Circuit reversed the trial court’s decision and vacated the prior damages award, noting that the</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72" w:right="259" w:bottom="1440" w:gutter="0" w:footer="0" w:header="0"/>
        </w:sectPr>
      </w:pPr>
    </w:p>
    <w:bookmarkStart w:id="23" w:name="page24"/>
    <w:bookmarkEnd w:id="23"/>
    <w:p>
      <w:pPr>
        <w:ind w:right="160"/>
        <w:spacing w:after="0" w:line="282" w:lineRule="auto"/>
        <w:rPr>
          <w:sz w:val="20"/>
          <w:szCs w:val="20"/>
          <w:color w:val="auto"/>
        </w:rPr>
      </w:pPr>
      <w:r>
        <w:rPr>
          <w:rFonts w:ascii="Times New Roman" w:cs="Times New Roman" w:eastAsia="Times New Roman" w:hAnsi="Times New Roman"/>
          <w:sz w:val="18"/>
          <w:szCs w:val="18"/>
          <w:color w:val="auto"/>
        </w:rPr>
        <w:t>government did not prove any damages. The court rejected as a matter of law the evidence submitted by the government on damages and remanded the case to the District Court to decide in the first instance whether the government should have another opportunity to prove that it suffered any actual damages.</w:t>
      </w:r>
    </w:p>
    <w:p>
      <w:pPr>
        <w:spacing w:after="0" w:line="16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 xml:space="preserve">On July 17, 2015, the case returned to the District Court, at which time we filed a motion for entry of judgment, seeking a judgment of zero actual damages. The government responded by filing a motion on August 28, 2015, in which it abandoned its claim for actual damages, but sought a </w:t>
      </w:r>
      <w:r>
        <w:rPr>
          <w:rFonts w:ascii="Times New Roman" w:cs="Times New Roman" w:eastAsia="Times New Roman" w:hAnsi="Times New Roman"/>
          <w:sz w:val="18"/>
          <w:szCs w:val="18"/>
          <w:color w:val="231F20"/>
        </w:rPr>
        <w:t>judgment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approximately $85 million, representing (1) disgorgement of UTC’s alleged profits in fiscal year 1985, the first year of the multi-year engine competition, (2) prejudgment interest and (3) the approximately $7 million civil penalty.</w:t>
      </w:r>
    </w:p>
    <w:p>
      <w:pPr>
        <w:spacing w:after="0" w:line="7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On June 2, 2016, the District Court </w:t>
      </w:r>
      <w:r>
        <w:rPr>
          <w:rFonts w:ascii="Times New Roman" w:cs="Times New Roman" w:eastAsia="Times New Roman" w:hAnsi="Times New Roman"/>
          <w:sz w:val="18"/>
          <w:szCs w:val="18"/>
          <w:color w:val="000000"/>
        </w:rPr>
        <w:t>rejected the government’s disgorgement calculation, and found that Pratt &amp; Whitney wrongly received $1,176,619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profits in fiscal year 1985. On June 22, 2016, the District Court entered a judgment in favor of the government in the amount of $11,050,790, comprised of $1,176,619 for profit disgorgement, $2,784,171 for prejudgment interest, and the civil penalty of $7,090,000. Neither party appealed the June 2016 decision. Pratt &amp; Whitney paid the judgment in full in the third quarter, and the matter is concluded.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Accounting Standards Claim</w:t>
      </w:r>
    </w:p>
    <w:p>
      <w:pPr>
        <w:spacing w:after="0" w:line="227"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By letter dated December 24, 2013, a Divisional Administrative Contracting Officer of the United States Defense Contract Management Agency asserted a claim and demand for payment of approximately $211 million against Pratt &amp; Whitney.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Pratt &amp; Whitney’s appeal is still pending, and we continue to believe the government’s claim is without merit.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 Tax Litigation</w:t>
      </w:r>
    </w:p>
    <w:p>
      <w:pPr>
        <w:spacing w:after="0" w:line="227"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As previously disclosed, UTC has been involved in administrative review proceedings with the German Tax Office, which concern approximately €215 million (approximately $241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$133 million). On August 3, 2012, we filed suit in the local German Tax Court (Berlin-Brandenburg). In March 2016, the local German Tax Court dismissed our suit, and we have appealed this decision to the German Federal Tax Court (FTC).</w:t>
      </w:r>
    </w:p>
    <w:p>
      <w:pPr>
        <w:spacing w:after="0" w:line="18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From 2008 to 2014, there was ongoing litigation between the German Government and another taxpayer in a case involving a German tax law relevant to our reorganization. In November 2014, the FTC ruled in favor of the German Government, and against the other taxpayer. In light of the FTC decision in the case involving the other taxpayer, we fully accrued for tax and interest in 2014. In 2015, UTC made tax and interest payments to German tax authorities of €275 million (approximately $300 million) in order to avoid additional interest accruals pending final resolution of this matter. In the meantime, we continue to vigorously litigate our matter.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Matters</w:t>
      </w:r>
    </w:p>
    <w:p>
      <w:pPr>
        <w:spacing w:after="0" w:line="22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As previously reported,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188"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Our estimated total liability to resolve all pending and unasserted potential future asbestos claims through 2059 is $378 million and is recorded primarily in Other long-term liabilities on our Condensed Consolidated Balance Sheet as of September 30, 2016. This amount is on a pre-tax basis, not discounted, and excludes the Company’s defense fees (which will continue to be expensed by the Company as they are incurred).</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addition, the Company has an insurance recovery receivable for probable asbestos related recoveries of approximately $106 million, which is included primarily in Other assets on our Condensed Consolidated Balance Sheet as of September 30, 2016. In calculating this amount, the Company used the estimated asbestos liability for pending and projected future claims and considered the amount of insurance available, allocation methodologies, solvency ratings, creditworthiness, and the contractual terms with each insurer.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72" w:right="239" w:bottom="1440" w:gutter="0" w:footer="0" w:header="0"/>
        </w:sectPr>
      </w:pPr>
    </w:p>
    <w:bookmarkStart w:id="24" w:name="page25"/>
    <w:bookmarkEnd w:id="24"/>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amounts recorded by UTC for asbestos-related claims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reforms that may be made by state and federal courts, and the passage of state or federal tort reform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As described in Note 14 of this Form 10-Q and Note 16 to the Consolidated Financial Statements in our 2015 Annual Report,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76"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6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of these proceedings,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Financial Data</w:t>
      </w:r>
    </w:p>
    <w:p>
      <w:pPr>
        <w:spacing w:after="0" w:line="22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Our operations are classified into four principal segments: Otis, UTC Climate, Controls &amp; Security, Pratt &amp; Whitney, and UTC Aerospace Systems. The segments are generally based on the management structure of the businesses and the grouping of similar operating companies, where each management organization has general operating autonomy over diversified products and services.</w:t>
      </w:r>
    </w:p>
    <w:p>
      <w:pPr>
        <w:spacing w:after="0" w:line="176"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As discussed in Note 2, on November 6, 2015, we completed the sale of Sikorsky to Lockheed Martin Corp. Amounts reported for 2015 in the table below exclude amounts attributable to Sikorsky, which have been reclassified to Discontinued Operations in the accompanying Condensed Consolidated Statements of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Results for the quarters ended September 30, 2016 and 2015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28"/>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13,788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Results for the nine months ended September 30, 2016 and 2015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2540" w:type="dxa"/>
            <w:vAlign w:val="bottom"/>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Operating Profit Margins</w:t>
            </w:r>
          </w:p>
        </w:tc>
      </w:tr>
      <w:tr>
        <w:trPr>
          <w:trHeight w:val="228"/>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Otis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Climate, Controls &amp; Security</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UTC Aerospace Systems</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10,867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42,585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41,798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6,899</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to the Condensed Consolidated Financial Statements for a discussion of restructuring costs included in segment operating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Accounting Pronouncements</w:t>
      </w:r>
    </w:p>
    <w:p>
      <w:pPr>
        <w:spacing w:after="0" w:line="22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2014-09, "Revenue from Contracts with Customers." In March 2016, the FASB issued ASU 2016-08, "Revenue from Contracts with Customers (Topic 606), Principal versus Agent Considerations (Reporting Revenue Gross versus Net)." The ASU clarifies how an entity should identify the unit of accounting (i.e. the specified good or service) for the principal versus agent evaluation and how it should apply the control principle to certain types of arrangements. In April 2016, the FASB issued ASU 2016-10, "Revenue from Contracts with Customers (Topic 606), Identifying Performance Obligations and Licensing," which clarifies the guidance surrounding licensing arrangements and the identification of performance obligations. In May 2016, the FASB issued ASU 2016-12, "Revenue from Contracts with Customers (Topic 606), Narrow-Scope Improvements and Practical Expedients," which addresses implementation issues raised by stakeholders concerning collectability, noncash consideration, presentation of sales tax, and transition. On August 12, 2015, the FASB issued ASU 2015-14, "Revenue from Contracts with Customers (Topic 606): Deferral of the Effective Date," which delays the effective date of ASU 2014-09 by one year. The new standard is effective for reporting periods beginning after December 15, 2017, and interim periods therein, using either of the following transition methods; (i) a full retrospective adoption reflecting the application of the standard in each prior reporting period, or (ii) a modified retrospective approach with the cumulative effect of initially adopting ASU 2014-09 recognized through retained earnings at the date of adoption. We are in the process of evaluating the potential revenue implications of the standard change, which may result in changes to our revenue recognition practices including the elimination of the units-of-delivery method for certain U.S. Government programs and the elimination of the completed contract method of accounting.</w:t>
      </w:r>
    </w:p>
    <w:p>
      <w:pPr>
        <w:spacing w:after="0" w:line="199"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January 2016, the FASB issued ASU 2016-01, "Financial Instruments - Overall: Recognition and Measurement of Financial Assets and Financial Liabilities." This ASU modifies how entities measure equity investments and present changes in the fair value of financial liabilities. Upon adoption, investments that do not result in consolidation and are not accounted for under the equity method generally must be carried at fair value, with changes in fair value recognized in net income. The provisions of this ASU are effective for years beginning after December 15, 2017. We are currently evaluating the impact of this ASU.</w:t>
      </w:r>
    </w:p>
    <w:p>
      <w:pPr>
        <w:spacing w:after="0" w:line="18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Under the amendments of this ASU, lessees will be required to recognize the following for all leases (with the exception of short-term leases) at the commencement date; (i) a lease liability, which is a lessee’s obligation to make lease payments arising from a lease, measured on a discounted basis; and (ii) a right-of-use asset, which is an asset that represents the lessee’s right to use, or control the use of, a specified asset for the lease term. Lessor accounting is largely unchanged under the amendments of this ASU. The provisions of this ASU are effective for years beginning after December 15, 2018. We are currently evaluating the impact of this ASU. We expect the ASU to have a material impact on our assets and liabilities due to the addition of right-of-use assets and lease liabilities, but we do not expect it to have a material impact on our cash flows or results of operations.</w:t>
      </w:r>
    </w:p>
    <w:p>
      <w:pPr>
        <w:spacing w:after="0" w:line="1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328): Measurement of Credit Losses on Financial Instruments." This ASU requires that certain financial assets, including those measured at amortized cost basis, be presented at the net amount expected to be collected, utilizing an impairment model known as the current expected credit loss model. In addition, available-for-sale debt securities will no longer use the concept of "other than temporary" when considering credit losses. Under this ASU, entities must use an allowance approach for credit losses on available-for-sale debt securities, and the allowance must be limited to the amount at which a security's fair value is below the amortized cost of the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asset. The provisions of this ASU are effective for years beginning after December 15, 2019, with early adoption permitted. We are currently evaluating the impact of this ASU.</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This ASU is intended to reduce diversity in practice in presentation and classification of certain cash receipts and cash payments by providing guidance on eight specific cash flow issues. The provisions of this ASU are effective for years beginning after December 15, 2017, with early adoption permitted. We do not expect this ASU to have a significant impact on our financial statements or disclosures.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240" w:top="118" w:right="39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unaudited condensed consolidated financial information of UTC for the quarters and nine months ended September 30, 2016 and 2015, PricewaterhouseCoopers LLP (PricewaterhouseCoopers) reported that it has applied limited procedures in accordance with professional standards for a review of such information. However, its report dated October 27, 2016,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00" w:lineRule="exact"/>
        <w:rPr>
          <w:sz w:val="20"/>
          <w:szCs w:val="20"/>
          <w:color w:val="auto"/>
        </w:rPr>
      </w:pPr>
    </w:p>
    <w:p>
      <w:pPr>
        <w:spacing w:after="0" w:line="306" w:lineRule="exact"/>
        <w:rPr>
          <w:sz w:val="20"/>
          <w:szCs w:val="20"/>
          <w:color w:val="auto"/>
        </w:rPr>
      </w:pPr>
    </w:p>
    <w:p>
      <w:pPr>
        <w:ind w:right="3460" w:firstLine="3453"/>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Shareowners of United Technologies Corporation:</w:t>
      </w:r>
    </w:p>
    <w:p>
      <w:pPr>
        <w:spacing w:after="0" w:line="261" w:lineRule="auto"/>
        <w:rPr>
          <w:sz w:val="20"/>
          <w:szCs w:val="20"/>
          <w:color w:val="auto"/>
        </w:rPr>
      </w:pPr>
      <w:r>
        <w:rPr>
          <w:rFonts w:ascii="Times New Roman" w:cs="Times New Roman" w:eastAsia="Times New Roman" w:hAnsi="Times New Roman"/>
          <w:sz w:val="18"/>
          <w:szCs w:val="18"/>
          <w:color w:val="auto"/>
        </w:rPr>
        <w:t>We have reviewed the accompanying condensed consolidated balance sheet of United Technologies Corporation and its subsidiaries as of September 30, 2016 and the related condensed consolidated statements of operations and condensed consolidated statements of comprehensive income for the three-month and nine-month periods ended September 30, 2016 and 2015 and the condensed consolidated statement of cash flows for the nine-month periods ended September 30, 2016 and 2015. This interim financial information is the responsibility of the Corporation’s management.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previously audited, in accordance with the standards of the Public Company Accounting Oversight Board (United States), the consolidated balance sheet as of December 31, 2015, and the related consolidated statements of operations, of comprehensive income, of cash flows, and of changes in equity for the year then ended (not presented herein), and in our report dated February 11, 2016, which included a paragraph that described the change in classification and presentation of debt issuance costs and deferred income taxes, and the leveling classification of pension assets in 2015, we expressed an unqualified opinion on those consolidated financial statements. In our opinion, the information set forth in the accompanying condensed consolidated balance sheet as of December 31, 2015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2016</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are a global provider of high technology products and services to the building systems and aerospace industries. Our operations for the periods presented herein are classified into four principal business segments: Otis, UTC Climate, Controls &amp; Security, Pratt &amp; Whitney, and UTC Aerospace Systems. Otis and UTC Climate, Controls &amp; Security are referred to as the "commercial businesses," while Pratt &amp; Whitney, and UTC Aerospace Systems are referred to as the "aerospace businesses." On November 6, 2015, we completed the sale of Sikorsky to Lockheed Martin Corp. for approximately $9.1 billion in cash. The results of operations and the related cash flows of Sikorsky have been reclassified to Discontinued Operations in our Condensed Consolidated Statements of Operations and Cash Flows for all periods presented.</w:t>
      </w:r>
    </w:p>
    <w:p>
      <w:pPr>
        <w:spacing w:after="0" w:line="8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current status of significant factors affecting our business environment in 2016 is discussed below. For additional discussion, refer to the "Business Overview" section in Management's Discussion and Analysis of Financial Condition and Results of Operations in our 2015 Annual Report, which is incorporated by reference in our 2015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w:t>
      </w:r>
    </w:p>
    <w:p>
      <w:pPr>
        <w:spacing w:after="0" w:line="22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Our worldwide operations can be affected by industrial, economic and political factors on both a regional and global level. To limit the impact of any one industry, or the economy of any single country on our consolidated operating results, our strategy has been, and continues to be, the maintenance of a balanced and diversified portfolio of businesses. Our operations include original equipment manufacturing (OEM) and extensive related aftermarket parts and services in both our commercial and aerospace businesses. Our business mix also reflects the combination of shorter cycles at UTC Climate, Controls &amp; Security and in our commercial aerospace aftermarket businesses, and longer cycles at Otis and in our aerospace OEM businesses. Our customers include companies in the private sector and governments, and our businesses reflect an extensive geographic diversification that has evolved with the continued globalization of world economies.</w:t>
      </w:r>
    </w:p>
    <w:p>
      <w:pPr>
        <w:spacing w:after="0" w:line="189"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global economy continues to expand in 2016 with world gross domestic product (GDP) growth projected to reach approximately 2.4% reflecting modest growth in the U.S. and Europe and a slowing but still growing economy in China. U.S. GDP growth is forecasted to be 1.4%, reflecting a mixed outlook with an improving housing market and growth in new jobs tempered by lower productivity and lower corporate profits. Although emerging markets have historically led global growth relative to advanced and developing countries, slowing growth rates in China and contraction in Russia and Brazil have tempered growth expectations for emerging markets in 2016 to approximately 3.9%.</w:t>
      </w:r>
    </w:p>
    <w:p>
      <w:pPr>
        <w:spacing w:after="0" w:line="18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In a referendum on June 23, 2016, voters in the United Kingdom (the U.K.) voted in favor of the U.K.'s exiting the European Union (the EU). Since the vote, the pound sterling has weakened significantly, but most financial markets have recovered to the levels prior to the vote. However, the manner in which the U.K. decides to exit the EU could have negative macroeconomic consequences. Our 2015 full year sales in the U.K. were approximately $2 billion and represented less than 4 percent of our overall sales, and we do not believe the U.K.'s withdrawal from the EU will significantly impact our businesses in the near term.</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military businesses sales are affected by U.S. Department of Defense budget and spending levels. Total sales to the U.S. Government were $1.4 billion and $1.3 billion, or 10% of total UTC sales, in the quarters ended September 30, 2016 and 2015. The defense portion of our aerospace business is affected by changes in market demand and the global political environment. Our participation in long-term production and development programs for the U.S. Government has and is expected to contribute positively to our results in 2016.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Discontinued Operations</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November 6, 2015, we completed the sale of Sikorsky to Lockheed Martin Corp. for approximately $9.1 billion in cash. As noted above, the results of operations and the related cash flows of Sikorsky have been reclassified to Discontinued Operations in our Condensed Consolidated Statements of Operations, Comprehensive Income and Cash Flows for all periods presented. Proceeds from the sale were used to fund $6.0 billion of share repurchases through accelerated share repurchase (ASR) agreements entered into on November 11, 2015. In connection with the sale of Sikorsky, we have made tax payments of approximately $2.5 billion in 2016. We expect remaining tax payments related to the sale of Sikorsky to be less than $100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Acquisition Activity</w:t>
      </w:r>
    </w:p>
    <w:p>
      <w:pPr>
        <w:spacing w:after="0" w:line="229"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Our growth strategy contemplates acquisitions. Our operations and results can be affected by the rate and extent to which appropriate acquisition opportunities are available, acquired businesses are effectively integrated, and anticipated synergies or cost savings are achieved. During the nine months ended September 30, 2016, our investment in business acquisitions was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$537 million, including debt assumed of $2 million, which includes the acquisition of a majority interest in an Italian-based heating products and services company by UTC Climate, Controls &amp; Security and a number of small acquisitions primarily in our commercial businesses. We expect cash investment in acquisitions to be approximately $1 billion in 2016. However, actual acquisition spending may vary depending upon the timing, availability and value of acquisition opportunities.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8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2016. See Part I, Item 1A, "Risk Factors" in our 2015 Form 10-K for further discussion.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Preparation of our financial statements requires management to make estimates and assumptions that affect the reported amounts of assets, liabilities, sales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Note 1 to the Consolidated Financial Statements in our 2015 Annual Report, incorporated by reference in our 2015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nine months ended September 30,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Sales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13,788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42,585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41,798</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total percentage change year-over-year in total net sales for the quarter and nine months ended September 30, 2016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2016, organic sales growth was driven by Pratt &amp; Whitney (13%) and UTC Aerospace Systems (6%), while Otis and UTC Climate, Controls &amp; Security sales were flat. The organic sales growth at Pratt &amp; Whitney was primarily driven by higher total aftermarket and military OEM sales. The organic sales growth at UTC Aerospace Systems was primarily due to an increase in commercial OEM sales for both legacy and new programs, and commercial aftermarket sales volume. Higher service sales at Otis were offset by a decline in new equipment sales. Growth in UTC Climate, Controls &amp; Security's residential heating, ventilation and air conditioning (HVAC) sales was offset by a decline in the transport refrigeration business.</w:t>
      </w:r>
    </w:p>
    <w:p>
      <w:pPr>
        <w:spacing w:after="0" w:line="8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2016, organic sales growth at Pratt &amp; Whitney (8%), UTC Aerospace Systems (3%), and Otis (2%), was partially offset by a decline at UTC Climate, Controls &amp; Security (1%). The organic sales growth at Pratt &amp; Whitney primarily reflects higher commercial aftermarket sales. The organic sales growth at UTC Aerospace</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type w:val="continuous"/>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Systems was primarily due to an increase in commercial OEM and aftermarket sales volume. The organic sales growth at Otis was primarily driven by higher service sales in the Americas and Asia and higher new equipment sales in North America partially offset by lower new equipment sales in China. The decline in sales at UTC Climate, Controls &amp; Security was primarily driven by lower container volume in the refrigeration business.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Products and Services Sold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21,952</w:t>
            </w:r>
          </w:p>
        </w:tc>
      </w:tr>
      <w:tr>
        <w:trPr>
          <w:trHeight w:val="243"/>
        </w:trPr>
        <w:tc>
          <w:tcPr>
            <w:tcW w:w="5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product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7,826</w:t>
            </w:r>
          </w:p>
        </w:tc>
      </w:tr>
      <w:tr>
        <w:trPr>
          <w:trHeight w:val="243"/>
        </w:trPr>
        <w:tc>
          <w:tcPr>
            <w:tcW w:w="5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service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products and services sold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10,342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30,737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29,778</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factors contributing to the percentage change year-over-year for the quarter and nine months ended September 30, 2016 in total cost of products and services sold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8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49"/>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Organic change</w:t>
            </w: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8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 Change</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organic increase in total cost of products and services sold in the quarter and nine months ended September 30, 2016 was driven by the organic sales increase noted above, as well as unfavorable year-over-year contract performance and contract termination benefits and settlements at Pratt &amp; Whitney, an increase in negative engine margin in 2016 relative to 2015 associated with OEM sales mix within Pratt &amp; Whitney, partially offset by the impact of lower commodity costs at UTC Climate, Controls &amp; Security. Foreign exchange fluctuations primarily at Otis and UTC Climate, Controls &amp; Security were neutral for the quarter ended September 30, 2016 and provided a benefit through lower cost of sales of approximately 2% for the nine months ended September 30, 2016.</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12,020</w:t>
            </w:r>
          </w:p>
        </w:tc>
      </w:tr>
      <w:tr>
        <w:trPr>
          <w:trHeight w:val="243"/>
        </w:trPr>
        <w:tc>
          <w:tcPr>
            <w:tcW w:w="5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bl>
    <w:p>
      <w:pPr>
        <w:spacing w:after="0" w:line="117"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90 basis point decline in gross margin as a percentage of sales for the quarter ended September 30, 2016 primarily reflects lower gross margin at Pratt &amp; Whitney (80 basis points) driven by unfavorable year-over-year contract performance and contract termination benefits and settlements, and the unfavorable impact of customer contract negotiations.</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100 basis point decrease in gross margin as a percentage of sales for nine months ended September 30, 2016 is primarily due to lower gross margin at Pratt &amp; Whitney (80 basis points) driven by unfavorable year-over-year contract performance and contract termination benefits and settlements, an increase in negative engine margin, and the unfavorable impact of customer contract negotiations. Gross margin also decreased at UTC Aerospace Systems (20 basis points) driven by unfavorable commercial and military OEM mix. Lower gross margin at Otis resulting from unfavorable pricing, was offset by higher gross margin at UTC Climate, Controls &amp; Security primarily driven by lower commodities cost.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9"/>
                <w:szCs w:val="19"/>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Company-funded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1,711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1,668</w:t>
            </w:r>
          </w:p>
        </w:tc>
      </w:tr>
      <w:tr>
        <w:trPr>
          <w:trHeight w:val="243"/>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Customer-funded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1,065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1,209</w:t>
            </w:r>
          </w:p>
        </w:tc>
      </w:tr>
      <w:tr>
        <w:trPr>
          <w:trHeight w:val="243"/>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17"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spending is subject to the variable nature of program development schedules, and therefore, year-over-year fluctuations in spending levels are expected. The majority of the company-funded spending is incurred by the aerospace businesses. The year-over-year increase in company-funded research and development (7%) for the quarter ended September 30, 2016 is primarily driven by higher research and development spending at Pratt &amp; Whitney (3%) as development programs progress towards certification, and higher spending at Otis (2%) and UTC Aerospace Systems (1%). Customer-funded research and development declined 9%, primarily at UTC Aerospace Systems (8%) due to lower spend related to several commercial aerospace programs.</w:t>
      </w:r>
    </w:p>
    <w:p>
      <w:pPr>
        <w:spacing w:after="0" w:line="80"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The year-over-year increase in company-funded research and development (3%) for the nine months ended September 30, 2016 is primarily driven by higher research and development costs within Pratt &amp; Whitney (3%) as development programs progress towards certification, and higher spending at Otis (2%). These increases were partially offset by lower spend within UTC Aerospace Systems related to several commercial aerospace programs (1%). Customer-funded research and development declined (12%) due primarily to lower spending on U.S. Government and commercial engine programs at Pratt</w:t>
      </w:r>
    </w:p>
    <w:p>
      <w:pPr>
        <w:spacing w:after="0" w:line="3" w:lineRule="exact"/>
        <w:rPr>
          <w:sz w:val="20"/>
          <w:szCs w:val="20"/>
          <w:color w:val="auto"/>
        </w:rPr>
      </w:pPr>
    </w:p>
    <w:p>
      <w:pPr>
        <w:ind w:left="440" w:right="2480" w:hanging="432"/>
        <w:spacing w:after="0" w:line="386" w:lineRule="auto"/>
        <w:tabs>
          <w:tab w:leader="none" w:pos="1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Whitney (6%), and lower spend within UTC Aerospace Systems related to several commercial aerospace programs (6%). We expect company-funded research and development for the full year 2016 to be up slightly from 2015 levels.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4,261</w:t>
            </w:r>
          </w:p>
        </w:tc>
      </w:tr>
      <w:tr>
        <w:trPr>
          <w:trHeight w:val="243"/>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bl>
    <w:p>
      <w:pPr>
        <w:spacing w:after="0" w:line="117"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2% in the quarter ended September 30, 2016 due to higher expenses at Otis (2%) reflecting higher labor and information technology costs; and higher expenses related to recent acquisitions (2%), partially offset by lower pension costs.</w:t>
      </w:r>
    </w:p>
    <w:p>
      <w:pPr>
        <w:spacing w:after="0" w:line="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declined 1% in the nine months ended September 30, 2016 due to lower pension costs (4%); partially offset by higher expenses at Otis (2%) reflecting higher labor and information technology costs; and higher expenses related to recent acquisitions (1%).</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Other income, net includes equity earnings in unconsolidated entities, royalty income, foreign exchange gains and losses, as well as other ongoing and nonrecurring items. The year-over-year decrease in other income, net (4%) in the quarter ended September 30, 2016 reflects the absence of prior year favorable transactional foreign exchange gains from mark to market adjustments and embedded foreign currency derivatives within certain elevator new equipment contracts (11%), partially offset by higher joint venture income (6%).</w:t>
      </w:r>
    </w:p>
    <w:p>
      <w:pPr>
        <w:spacing w:after="0" w:line="72"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year-over-year decrease in other income, net (26%) in the nine months ended September 30, 2016 reflects the absence of the prior year gains from the remeasurement to fair value of previously held equity interests in UTC Climate, Controls &amp; Security joint venture investments (19%), and the absence of the favorable impact of a prior year contract termination at Pratt &amp; Whitney (4%).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707</w:t>
            </w:r>
          </w:p>
        </w:tc>
      </w:tr>
      <w:tr>
        <w:trPr>
          <w:trHeight w:val="243"/>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Average interest expense rate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11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during the quarter and nine months ended September 30, 2016 relative to the prior year is due to additional interest expense on non-U.S. long-term debt issued in February, 2016, partially offset by lower average outstanding U.S. long-term debt balances and related interest expense.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4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4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2"/>
        </w:trPr>
        <w:tc>
          <w:tcPr>
            <w:tcW w:w="6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54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quarter and nine months ended September 30, 2016 primarily reflects the favorable non-cash impact related to the conclusion of a review by the Internal Revenue Service of Goodrich’s 2011-2012 tax years through the date of acquisition. Additionally, the lower forecasted effective tax rate for 2016 has also contributed to the decrease in effective tax rate in comparison to 2015.</w:t>
      </w:r>
    </w:p>
    <w:p>
      <w:pPr>
        <w:spacing w:after="0" w:line="17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the nine months ended September 30, 2016 reflects the items noted above, as well as the absence of the amount recorded in 2015 related to the non-taxable gain recognized on the remeasurement to fair value of a previously held equity interest in a UTC Climate, Controls &amp; Security joint venture.</w:t>
      </w:r>
    </w:p>
    <w:p>
      <w:pPr>
        <w:spacing w:after="0" w:line="6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estimate our full year 2016 continuing operations annual effective income tax rate to be approximately 28%, excluding restructuring and non-operational nonrecurring items.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Continuing Operations Attributable to Common Shareowners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96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common shareowners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4,252</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4.76</w:t>
            </w:r>
          </w:p>
        </w:tc>
      </w:tr>
    </w:tbl>
    <w:p>
      <w:pPr>
        <w:spacing w:after="0" w:line="11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2016 includes restructuring charges, net of tax benefit, of $8 million as well as a net charge for significant non-operational and/or nonrecurring items, net of tax, of $11 million. The effect of restructuring charges and nonrecurring items on diluted earnings per share for the quarter ended September 30, 2016 was $0.02 per share while the effect of foreign currency translation and hedging generated a favorable impact of $0.02 per diluted share.</w:t>
      </w:r>
    </w:p>
    <w:p>
      <w:pPr>
        <w:spacing w:after="0" w:line="180"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quarter ended September 30, 2015 includes restructuring charges, net of tax benefit, of $52 million. The effect of restructuring charges on diluted earnings per share for the quarter ended September 30, 2015 was $0.06 per share while the effect of foreign currency translation and hedging generated an unfavorable effect of $0.05 per diluted share.</w:t>
      </w:r>
    </w:p>
    <w:p>
      <w:pPr>
        <w:spacing w:after="0" w:line="17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nine months ended September 30, 2016 includes restructuring charges, net of tax benefit, of $128 million as well as a net charge for significant non-operational and/or nonrecurring items, net of tax, of $21 million. The effect of restructuring charges and nonrecurring items on diluted earnings per share for the nine months ended September 30, 2016 was $0.18 per share. The effect of foreign currency translation and hedging generated a favorable impact of $0.02 on earnings per diluted share.</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common shareowners for the nine months ended September 30, 2015 includes restructuring charges, net of tax benefit, of $140 million as well as a net benefit from significant non-operational and/or nonrecurring items, net of tax, of $127 million. The effect of restructuring charges on diluted earnings per share for the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2015 was $0.15, which was partially offset by a net benefit from significant nonrecurring items of $0.14 per share. The impact of foreign currency translation and hedging generated an unfavorable effect of $0.18 per diluted share.</w:t>
      </w:r>
    </w:p>
    <w:p>
      <w:pPr>
        <w:spacing w:after="0" w:line="15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Income from Discontinued Operations Attributable to Common Shareowners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860" w:type="dxa"/>
            <w:vAlign w:val="bottom"/>
            <w:tcBorders>
              <w:top w:val="single" w:sz="8" w:color="auto"/>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5"/>
        </w:trPr>
        <w:tc>
          <w:tcPr>
            <w:tcW w:w="5620" w:type="dxa"/>
            <w:vAlign w:val="bottom"/>
            <w:gridSpan w:val="3"/>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income (loss) from discontinued operations attributable to common</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1"/>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shareowners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Diluted earnings (loss) per share from discontinued operations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(0.07)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0.09</w:t>
            </w: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common shareowners for the quarter ended September 30, 2016 reflects approximately</w:t>
      </w:r>
    </w:p>
    <w:p>
      <w:pPr>
        <w:spacing w:after="0" w:line="2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$40 million of income tax benefit, including the impacts related to filing Sikorsky's 2015 tax returns. Net income from discontinued operations attributable to common shareowners for the nine months ended September 30, 2016 reflects the final purchase price adjustment for the sale of Sikorsky, and the net effects of filing Sikorsky's 2015 tax returns. For the quarter and nine months ended September 30, 2015, net income from discontinued operations attributable to common shareowners primarily reflects income from Sikorsky's operations, a reduction to the gain on disposal and additional associated tax expense.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 included within continuing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Restructuring costs included within discontinued operations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Restructuring actions are an essential component of our operating margin improvement efforts and relate to both existing operations and those recently acquired. Charges generally arise from severance related to workforce reductions, facility exit and lease termination costs associated with the consolidation of field and manufacturing operations and costs to exit legacy programs. We expect to incur restructuring costs within continuing operations in 2016 of approximately $350 million to $400 million, including trailing costs related to prior actions associated with our continuing cost reduction efforts and the integration of acquisitions. We continue to closely monitor the economic environment and may undertake further restructuring actions to keep our cost structure aligned with the demands of the prevailing market conditions.</w:t>
      </w:r>
    </w:p>
    <w:p>
      <w:pPr>
        <w:spacing w:after="0" w:line="1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2016 Actions. </w:t>
      </w:r>
      <w:r>
        <w:rPr>
          <w:rFonts w:ascii="Times New Roman" w:cs="Times New Roman" w:eastAsia="Times New Roman" w:hAnsi="Times New Roman"/>
          <w:sz w:val="18"/>
          <w:szCs w:val="18"/>
          <w:color w:val="auto"/>
        </w:rPr>
        <w:t>During the nine months ended September 30, 2016, we recorded net pre-tax restructuring charges of $143 million relating to ongoing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actions initiated in 2016. We are targeting to complete in 2016 and 2017 the majority of the remaining workforce and facility related cost reduction actions initiated in 2016. Approximately 80% of the total pre-tax charge will require cash payments, which we have funded and expect to continue to fund with cash generated from operations. During the nine months ended September 30, 2016, we had cash outflows of approximately $40 million related to the 2016 actions. We expect to incur additional restructuring charges of $99 million to complete these actions. We expect recurring pre-tax savings in continuing operations to increase over the two-year period subsequent to initiating the actions to approximately $100 million annually.</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2015 Actions. </w:t>
      </w:r>
      <w:r>
        <w:rPr>
          <w:rFonts w:ascii="Times New Roman" w:cs="Times New Roman" w:eastAsia="Times New Roman" w:hAnsi="Times New Roman"/>
          <w:sz w:val="18"/>
          <w:szCs w:val="18"/>
          <w:color w:val="auto"/>
        </w:rPr>
        <w:t>During the nine months ended September 30, 2016 and 2015, we recorded net pre-tax restructuring charges of $44 million and $271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for actions initiated in 2015. During the quarter ended September 30, 2016, we had reversals of previously accrued restructuring reserves of approximately $32 million, the majority of which related to a Pratt &amp; Whitney business that was sold in the third quarter of 2016 after originally being scheduled for closure. We are targeting to complete in 2016 the majority of the remaining workforce and facility related cost reduction actions initiated in 2015. Approximately 63% of the total pre-tax charge will require cash payments, which we have and expect to continue to fund with cash generated from operations. During the nine months ended September 30, 2016, we had cash outflows of approximately $146 million related to the 2015 actions. We expect to incur additional restructuring charges of $103 million to complete these actions. We expect recurring pre-tax savings in continuing operations to increase over the two-year period subsequent to initiating the actions to approximately $430 million annually, of which, approximately $224 million was realized during the nine months ended September 30, 2016.</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additional discussion of restructuring, see Note 8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Review</w:t>
      </w:r>
    </w:p>
    <w:p>
      <w:pPr>
        <w:spacing w:after="0" w:line="22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Segments are generally based on the management structure of the businesses and the grouping of similar operating companies, where each management organization has general operating autonomy over diversified products and services. We have previously reported the results of Sikorsky within our Aerospace Businesses as a separate reporting segment, but have reclassified Sikorsky's results to discontinued operations for all periods presented, as noted in the "Discontinued Operations" section of our Business Overview in Management’s Discussion and Analysis of Financial Condition and Results of Operations. Adjustments to reconcile segment reporting to the consolidated results for the quarters and nine months ended September 30, 2016 and 2015 are included in "Eliminations and other" below, which also includes certain smaller subsidiaries. We attempt to quantify material cited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Commercial Businesses</w:t>
      </w:r>
    </w:p>
    <w:p>
      <w:pPr>
        <w:spacing w:after="0" w:line="229"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Our commercial businesses generally serve customers in the worldwide commercial and residential property industries, and UTC Climate, Controls &amp; Security also serves customers in the commercial and transport refrigeration industries. Sales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UTC Climate, Controls &amp; Security's financial performance can also be influenced by production and utilization of transport equipment, and, in the case of its residential business, weather conditions. To ensure adequate supply of products in the distribution channel, UTC Climate, Controls &amp; Security customarily offers its customers incentives to purchase products. The principal incentive program provides reimbursements to distributors for offering promotional pricing on UTC Climate, Controls &amp; Security products. We account for incentive payments made as a reduction to sales.</w:t>
      </w:r>
    </w:p>
    <w:p>
      <w:pPr>
        <w:spacing w:after="0" w:line="7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At constant currency and excluding the effect of acquisitions and divestitures, UTC Climate, Controls &amp; Security equipment orders in the quarter ended September 30, 2016 were flat in comparison to the same period of the prior year as an increase in residential HVAC orders (11%) was offset by declines in the transport refrigeration (8%) and commercial HVAC (2%) businesses. Within the Otis segment, new equipment orders in the quarter increased 2% in comparison to the prior year as order growth in Europe and the Middle East (21%) and the Asia region excluding China (12%) were offset by order declines in China (10%) and the Americas (1%).</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quarters ended September 30, 2016 and 2015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Otis</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UTC Climate, Controls &amp; Security</w:t>
            </w:r>
          </w:p>
        </w:tc>
      </w:tr>
      <w:tr>
        <w:trPr>
          <w:trHeight w:val="228"/>
        </w:trPr>
        <w:tc>
          <w:tcPr>
            <w:tcW w:w="3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8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9"/>
                <w:szCs w:val="19"/>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3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28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106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commercial businesses for the nine months ended September 30, 2016 and 2015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Otis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UTC Climate, Controls &amp; Security</w:t>
            </w:r>
          </w:p>
        </w:tc>
      </w:tr>
      <w:tr>
        <w:trPr>
          <w:trHeight w:val="228"/>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9"/>
                <w:szCs w:val="19"/>
                <w:color w:val="auto"/>
              </w:rPr>
            </w:pPr>
          </w:p>
        </w:tc>
        <w:tc>
          <w:tcPr>
            <w:tcW w:w="8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12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8,719</w:t>
            </w:r>
          </w:p>
        </w:tc>
        <w:tc>
          <w:tcPr>
            <w:tcW w:w="120" w:type="dxa"/>
            <w:vAlign w:val="bottom"/>
          </w:tcPr>
          <w:p>
            <w:pPr>
              <w:spacing w:after="0"/>
              <w:rPr>
                <w:sz w:val="21"/>
                <w:szCs w:val="21"/>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2,908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3,866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3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and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2,323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36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18.1%</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Otis –</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2016 Compared with Quarter Ended September 30, 2015</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3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6"/>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920" w:type="dxa"/>
            <w:vAlign w:val="bottom"/>
            <w:gridSpan w:val="3"/>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14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2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Costs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92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Organic sales were flat for the quarter as higher service sales (1%), driven by growth in the Americas and Asia, were offset by a decline in new equipment sales (1%). The new equipment sales decline was driven by China (3%), partially offset by growth in North America (2%).</w:t>
      </w:r>
    </w:p>
    <w:p>
      <w:pPr>
        <w:spacing w:after="0" w:line="54"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The operational profit decrease of 11% was driven by unfavorable price and mix (13%) primarily in China and Europe; the absence of prior year favorable transactional foreign exchange gains from mark to market adjustments and embedded foreign currency derivatives within certain new equipment contracts (4%); and higher research and development spending (2%). These decreases were partially offset by favorable productivity and commodity costs and profit contribution from higher service sales volume.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with Nine Months Ended September 30,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68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organic sales increase of 2% primarily reflects higher service sales (1%), driven by growth in the Americas and Asia, and new equipment sales growth (1%). The growth in new equipment sales was driven by growth in North America (2%), partially offset by a decline in China (2%).</w:t>
      </w:r>
    </w:p>
    <w:p>
      <w:pPr>
        <w:spacing w:after="0" w:line="16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operational profit decrease of 7% was driven by unfavorable price and mix (10%), primarily in China and Europe; the absence of prior year favorable transactional foreign exchange gains from mark to market adjustments and embedded foreign currency derivatives within certain new equipment contracts (2%); and higher research and development spending (1%); partially offset by higher volume (4%) and favorable productivity and commodity costs (combined 3%).</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UTC Climate, Controls &amp; Security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2016 Compared with Quarter Ended September 30,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ind w:left="112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14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tcBorders>
              <w:bottom w:val="single" w:sz="8" w:color="CCEEFF"/>
            </w:tcBorders>
            <w:gridSpan w:val="3"/>
            <w:shd w:val="clear" w:color="auto" w:fill="CCEEFF"/>
          </w:tcPr>
          <w:p>
            <w:pPr>
              <w:jc w:val="right"/>
              <w:ind w:right="1408"/>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80" w:type="dxa"/>
            <w:vAlign w:val="bottom"/>
            <w:gridSpan w:val="3"/>
          </w:tcPr>
          <w:p>
            <w:pPr>
              <w:jc w:val="right"/>
              <w:ind w:right="1408"/>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21"/>
                <w:szCs w:val="21"/>
                <w:color w:val="auto"/>
              </w:rPr>
            </w:pPr>
          </w:p>
        </w:tc>
        <w:tc>
          <w:tcPr>
            <w:tcW w:w="19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Organic sales were flat in the quarter as growth in North America residential HVAC (1%) was offset by a decline in the transport refrigeration business (1%) and a decline in commercial HVAC sales in the Middle East (1%).</w:t>
      </w:r>
    </w:p>
    <w:p>
      <w:pPr>
        <w:spacing w:after="0" w:line="16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5% operational profit increase was driven by net restructuring and productivity savings (combined 3%) and lower commodities cost net of pricing (combined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with Nine Months Ended September 30,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16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54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Organic sales decreased by 1% primarily driven by a decline in the transport refrigeration business (1%) due to lower container volume.</w:t>
      </w:r>
    </w:p>
    <w:p>
      <w:pPr>
        <w:spacing w:after="0" w:line="22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7% operational profit increase was driven by lower commodities cost (5%), and productivity and restructuring savings (combined 4%), partly offset by the impact of lower sales volume and adverse sales mix (combined 3%). The 6% decrease in "Other" is driven by the absence of a prior year gain as a result of a fair value adjustment related to acquisitions of a controlling interest in joint venture investments (6%), and a gain on a property sale (1%). "Other" also includes current year gains related to the acquisition of a controlling interest in a joint venture investment in the Middle East and from the sale of an investment in Australia (combined 1%), which were offset by a prior year gain from an acquisition of a controlling interest in another joint venture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Aerospace Businesses</w:t>
      </w:r>
    </w:p>
    <w:p>
      <w:pPr>
        <w:spacing w:after="0" w:line="229"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aerospace businesses serve both commercial and government aerospace customers. Revenue passenger miles (RPMs), U.S. Government military and space spending, and the general economic health of airline carriers are all barometers for our aerospace businesses. Performance in the general aviation sector is closely tied to the overall health of the economy and is positively correlated to corporate profits.</w:t>
      </w:r>
    </w:p>
    <w:p>
      <w:pPr>
        <w:spacing w:after="0" w:line="176"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We continue to see growth in a strong commercial airline industry which is benefiting from traffic growth and lower fuel costs. Airline traffic, as measured by RPMs, grew approximately 5% in the first eight months of 2016, while jet fuel costs have declined approximately 10% relative to prices one year ago.</w:t>
      </w:r>
    </w:p>
    <w:p>
      <w:pPr>
        <w:spacing w:after="0" w:line="17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Our commercial aftermarket businesses continue to evolve as an increasing proportion of our aerospace businesses' customers are covered under Fleet Management Programs (FMPs). FMPs are comprehensive long-term spare part and service agreements with our customers. We expect a continued shift to FMPs in lieu of transactional spare part sales as new engines enter our customers' fleets on FMPs and legacy fleets are retired. For the first nine months of 2016, as compared with 2015, commercial aerospace aftermarket sales increased 15% at Pratt &amp; Whitney and 2% at UTC Aerospace Systems.</w:t>
      </w:r>
    </w:p>
    <w:p>
      <w:pPr>
        <w:spacing w:after="0" w:line="180"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We record changes in contract estimates using the cumulative catch-up method in accordance with the Revenue Recognition Topic of the FASB ASC. Operating profit in the quarter and nine months ended September 30, 2016 included significant net unfavorable changes in aerospace contract estimates of $24 million and $20 million, respectively, primarily representing unfavorable contract adjustments recorded at Pratt &amp; Whitney. Operating profit in the quarter and nine months ended September 30, 2016 also includes a charge provided for ongoing customer contract negotiations at Pratt &amp; Whitney. The amount recorded may be subject to change as negotiations progress.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As previously disclosed, Pratt &amp; Whitney's PurePower PW1500G engine models have been selected by Bombardier to power the new CSeries passenger aircraft, which entered into service on July 15, 2016. There have been multi-year delays in the development of the CSeries aircraft. Notwithstanding these delays, Bombardier reports that they have received over 300 orders for the aircraft, have certified the initial aircraft model and expect to close the certification process for all aircraft models in 2016. We have made various investments in support of the production and delivery of our PW1500G engines and systems for the CSeries program, which we currently expect to recover through future deliveries of PW1500G powered CSeries aircraft. We will continue to monitor the progress of the program and our ability to recover our investments.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quarters ended September 30, 2016 and 2015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UTC Aerospace Systems</w:t>
            </w:r>
          </w:p>
        </w:tc>
        <w:tc>
          <w:tcPr>
            <w:tcW w:w="960" w:type="dxa"/>
            <w:vAlign w:val="bottom"/>
            <w:tcBorders>
              <w:bottom w:val="single" w:sz="8" w:color="auto"/>
            </w:tcBorders>
          </w:tcPr>
          <w:p>
            <w:pPr>
              <w:spacing w:after="0"/>
              <w:rPr>
                <w:sz w:val="16"/>
                <w:szCs w:val="16"/>
                <w:color w:val="auto"/>
              </w:rPr>
            </w:pPr>
          </w:p>
        </w:tc>
      </w:tr>
      <w:tr>
        <w:trPr>
          <w:trHeight w:val="228"/>
        </w:trPr>
        <w:tc>
          <w:tcPr>
            <w:tcW w:w="3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3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&amp; Other</w:t>
            </w: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Profit Margins</w:t>
            </w:r>
          </w:p>
        </w:tc>
        <w:tc>
          <w:tcPr>
            <w:tcW w:w="26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Summary performance for each of the aerospace businesses for the nine months ended September 30, 2016 and 2015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Pratt &amp; Whitney</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UTC Aerospace Systems</w:t>
            </w:r>
          </w:p>
        </w:tc>
        <w:tc>
          <w:tcPr>
            <w:tcW w:w="980" w:type="dxa"/>
            <w:vAlign w:val="bottom"/>
            <w:tcBorders>
              <w:bottom w:val="single" w:sz="8" w:color="auto"/>
            </w:tcBorders>
          </w:tcPr>
          <w:p>
            <w:pPr>
              <w:spacing w:after="0"/>
              <w:rPr>
                <w:sz w:val="16"/>
                <w:szCs w:val="16"/>
                <w:color w:val="auto"/>
              </w:rPr>
            </w:pPr>
          </w:p>
        </w:tc>
      </w:tr>
      <w:tr>
        <w:trPr>
          <w:trHeight w:val="228"/>
        </w:trPr>
        <w:tc>
          <w:tcPr>
            <w:tcW w:w="3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9"/>
                <w:szCs w:val="19"/>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10,867</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3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Operating Expenses &amp; Other</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38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Profit Margins</w:t>
            </w:r>
          </w:p>
        </w:tc>
        <w:tc>
          <w:tcPr>
            <w:tcW w:w="1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12.9%</w:t>
            </w:r>
          </w:p>
        </w:tc>
        <w:tc>
          <w:tcPr>
            <w:tcW w:w="1180" w:type="dxa"/>
            <w:vAlign w:val="bottom"/>
          </w:tcPr>
          <w:p>
            <w:pPr>
              <w:spacing w:after="0"/>
              <w:rPr>
                <w:sz w:val="20"/>
                <w:szCs w:val="20"/>
                <w:color w:val="auto"/>
              </w:rPr>
            </w:pPr>
          </w:p>
        </w:tc>
        <w:tc>
          <w:tcPr>
            <w:tcW w:w="13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 &amp; Whitney –</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2016 Compared with Quarter Ended September 30, 2015</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3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1460" w:type="dxa"/>
            <w:vAlign w:val="bottom"/>
          </w:tcPr>
          <w:p>
            <w:pPr>
              <w:jc w:val="right"/>
              <w:ind w:right="71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180" w:type="dxa"/>
            <w:vAlign w:val="bottom"/>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2440" w:type="dxa"/>
            <w:vAlign w:val="bottom"/>
            <w:gridSpan w:val="2"/>
          </w:tcPr>
          <w:p>
            <w:pPr>
              <w:jc w:val="center"/>
              <w:ind w:right="9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1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146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1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380" w:type="dxa"/>
            <w:vAlign w:val="bottom"/>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shd w:val="clear" w:color="auto" w:fill="CCEEFF"/>
          </w:tcPr>
          <w:p>
            <w:pPr>
              <w:spacing w:after="0"/>
              <w:rPr>
                <w:sz w:val="21"/>
                <w:szCs w:val="21"/>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organic sales increase of 13% primarily reflects higher commercial aftermarket sales (5%), military engine sales (4%) and military aftermarket sales (3%). Included in the sales increase is the absence of prior year startup challenges related to the transition to a third-party material logistics center that delayed some large engine shipments during the third quarter of 2015. “Other” primarily reflects a sales reduction recorded in connection with provisions established for ongoing customer contract negotiations (6%).</w:t>
      </w:r>
    </w:p>
    <w:p>
      <w:pPr>
        <w:spacing w:after="0" w:line="7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Pratt &amp; Whitney’s operating profit includes lower pension cost and restructuring savings across its businesses. The operational profit decrease (17%) was primarily due to unfavorable year-over-year contract performance, contract termination benefits and contract settlements (27%), lower commercial engines profit contribution driven by unfavorable engine mix (15%), higher research and development spending (5%) and the absence of prior year licensing arrangements (5%). These decreases were partially offset by profit contribution from strong commercial aftermarket volume (23%), higher military aftermarket volume (7%) and higher military engines volume partially offset by unfavorable mix (5%). “Other” primarily reflects a charge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provided for ongoing customer contract negotiations (23%), partially offset by the benefit of licensing certain intellectual property rights during the quarter (5%).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with Nine Months Ended September 30,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3"/>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1720" w:type="dxa"/>
            <w:vAlign w:val="bottom"/>
          </w:tcPr>
          <w:p>
            <w:pPr>
              <w:jc w:val="right"/>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6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800" w:type="dxa"/>
            <w:vAlign w:val="bottom"/>
          </w:tcPr>
          <w:p>
            <w:pPr>
              <w:jc w:val="right"/>
              <w:ind w:right="617"/>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3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17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6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800" w:type="dxa"/>
            <w:vAlign w:val="bottom"/>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1"/>
                <w:szCs w:val="21"/>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4 %</w:t>
            </w:r>
          </w:p>
        </w:tc>
        <w:tc>
          <w:tcPr>
            <w:tcW w:w="16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right="80" w:firstLine="8"/>
        <w:spacing w:after="0" w:line="261" w:lineRule="auto"/>
        <w:tabs>
          <w:tab w:leader="none" w:pos="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Pratt &amp; Whitney only, the transactional impact of foreign exchange hedging at Pratt &amp; Whitney Canada has been netted against the translational foreign exchange impact for presentation purposes in the above tables. For all other segments, these foreign exchange transactional impacts are included within the organic/operational caption in their respective tables. Due to its potential significance to Pratt &amp; Whitney's overall operating results, we believe it is useful to segregate the foreign exchange transactional impact in order to clearly identify the underlying financial performance.</w:t>
      </w:r>
    </w:p>
    <w:p>
      <w:pPr>
        <w:spacing w:after="0" w:line="7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organic sales increase of 8% primarily reflects higher commercial aftermarket sales (7%), military engine and aftermarket sales (2%), partially offset by unfavorable commercial engine sales mix (1%). Included in the sales increase is the absence of prior year startup challenges related to the transition to a third-party material logistics center that delayed some large engine shipments during the third quarter of 2015.</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operational profit decrease (11%) was primarily due to lower profit contribution from large commercial engines driven by unfavorable engine mix (14%), unfavorable year-over-year contract performance, contract termination benefits and contract settlements (13%), lower engine volume at Pratt Canada (9%), higher research and development spending (4%), and the absence of prior year licensing arrangements (2%). These decreases were partially offset by strong commercial aftermarket volume (26%), sales of legacy hardware (3%), and the profit contribution from higher military aftermarket sales (2%). “Other” primarily reflects a charge provided for ongoing customer contract negotiations (7%).</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UTC Aerospace Systems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 Ended September 30, 2016 Compared with Quarter Ended September 30,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8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organic sales growth of 6% primarily reflects an increase in commercial OEM sales for both legacy and new programs, and commercial aftermarket sales volume (combined, 9%), partially offset by lower military OEM and aftermarket sales volume (2%) and the absence of the favorable impact of a prior year contract termination (1%).</w:t>
      </w:r>
    </w:p>
    <w:p>
      <w:pPr>
        <w:spacing w:after="0" w:line="176" w:lineRule="exact"/>
        <w:rPr>
          <w:sz w:val="20"/>
          <w:szCs w:val="20"/>
          <w:color w:val="auto"/>
        </w:rPr>
      </w:pPr>
    </w:p>
    <w:p>
      <w:pPr>
        <w:jc w:val="both"/>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operational profit decrease of 2% primarily reflects the absence of the favorable impact from a prior year contract termination benefit (7%), prior year sales to a third party aftermarket parts company (4%), and a prior year settlement (3%). The decrease also reflects lower military OEM and aftermarket profit contribution (3%), primarily driven by lower sales volume, and lower income from licensing agreements (3%). These declines were partially offset by higher commercial aerospace OEM and aftermarket profit contribution (13%), and lower pension costs (6%). The 5% increase in "Other" primarily reflects gains recognized on the sale of non-core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2016 Compared with Nine Months Ended September 30, 2015</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Factors Contributing to Total % Change</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180" w:type="dxa"/>
            <w:vAlign w:val="bottom"/>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Organic /</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700"/>
              <w:spacing w:after="0" w:line="149" w:lineRule="exact"/>
              <w:rPr>
                <w:sz w:val="20"/>
                <w:szCs w:val="20"/>
                <w:color w:val="auto"/>
              </w:rPr>
            </w:pPr>
            <w:r>
              <w:rPr>
                <w:rFonts w:ascii="Times New Roman" w:cs="Times New Roman" w:eastAsia="Times New Roman" w:hAnsi="Times New Roman"/>
                <w:sz w:val="14"/>
                <w:szCs w:val="14"/>
                <w:b w:val="1"/>
                <w:bCs w:val="1"/>
                <w:color w:val="auto"/>
              </w:rPr>
              <w:t>FX</w:t>
            </w:r>
          </w:p>
        </w:tc>
        <w:tc>
          <w:tcPr>
            <w:tcW w:w="190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Acquisitions /</w:t>
            </w:r>
          </w:p>
        </w:tc>
        <w:tc>
          <w:tcPr>
            <w:tcW w:w="13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Restructuring</w:t>
            </w: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 net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90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Profits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59"/>
        </w:trPr>
        <w:tc>
          <w:tcPr>
            <w:tcW w:w="3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organic sales growth of 3% primarily reflects an increase in commercial OEM and aftermarket sales volume (5%), partially offset by lower military OEM and aftermarket sales volume (2%).</w:t>
      </w:r>
    </w:p>
    <w:p>
      <w:pPr>
        <w:spacing w:after="0" w:line="16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operational profit decrease of 3% primarily reflects lower military profit contribution (5%) driven primarily by lower sales volume, and the absence of the favorable impact from prior year customer contract negotiations, dispute resolutions and other settlements (5%), a prior year contract termination benefit (2%), and prior year sales to a third party aftermarket parts company (1%). These declines were partially offset by lower pension costs (6%), higher net commercial OEM and aftermarket profit contribution (2%), and lower research and development costs (1%).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Eliminations and other –</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c>
          <w:tcPr>
            <w:tcW w:w="300" w:type="dxa"/>
            <w:vAlign w:val="bottom"/>
          </w:tcPr>
          <w:p>
            <w:pPr>
              <w:spacing w:after="0"/>
              <w:rPr>
                <w:sz w:val="21"/>
                <w:szCs w:val="21"/>
                <w:color w:val="auto"/>
              </w:rPr>
            </w:pPr>
          </w:p>
        </w:tc>
        <w:tc>
          <w:tcPr>
            <w:tcW w:w="27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Quarter Ended September 30,</w:t>
            </w: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27"/>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Operating Profits</w:t>
            </w:r>
          </w:p>
        </w:tc>
        <w:tc>
          <w:tcPr>
            <w:tcW w:w="920" w:type="dxa"/>
            <w:vAlign w:val="bottom"/>
            <w:tcBorders>
              <w:bottom w:val="single" w:sz="8" w:color="auto"/>
            </w:tcBorders>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21"/>
                <w:szCs w:val="21"/>
                <w:color w:val="auto"/>
              </w:rPr>
            </w:pPr>
          </w:p>
        </w:tc>
        <w:tc>
          <w:tcPr>
            <w:tcW w:w="2760" w:type="dxa"/>
            <w:vAlign w:val="bottom"/>
            <w:gridSpan w:val="4"/>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 and other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51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1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Eliminations and other reflects the elimination of sales, other income and operating profit transacted between segments, as well as the operating results of certain smaller businesses. The year-over-year increase in the amount of sales eliminations for the nine months ended September 30, 2016, as compared with the same period of 2015, reflects an increase in the amount of inter-segment sales eliminations, principally between our aerospace businesses. The year-over-year decline in operating profit for the nine months ended September 30, 2016 as compared with the same period of 2015, reflects a decrease in royalty income. The year-over-year decline in general corporate expenses for the nine months ended September 30, 2016, as compared with the same period in 2015, primarily reflects lower expenses related to salaries, wages and employee benefits.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3"/>
                <w:szCs w:val="13"/>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240" w:type="dxa"/>
            <w:vAlign w:val="bottom"/>
          </w:tcPr>
          <w:p>
            <w:pPr>
              <w:spacing w:after="0"/>
              <w:rPr>
                <w:sz w:val="13"/>
                <w:szCs w:val="13"/>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64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right"/>
              <w:ind w:right="574"/>
              <w:spacing w:after="0" w:line="160" w:lineRule="exact"/>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(total debt less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17,190</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32,051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capitalization (debt plus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54,718</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capitalization (debt plus equity less cash and cash equivalents)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49,241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to total capitalization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6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debt to net capitalization</w:t>
            </w:r>
          </w:p>
        </w:tc>
        <w:tc>
          <w:tcPr>
            <w:tcW w:w="160" w:type="dxa"/>
            <w:vAlign w:val="bottom"/>
          </w:tcPr>
          <w:p>
            <w:pPr>
              <w:spacing w:after="0"/>
              <w:rPr>
                <w:sz w:val="21"/>
                <w:szCs w:val="21"/>
                <w:color w:val="auto"/>
              </w:rPr>
            </w:pP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principal source of liquidity is operating cash flows of continuing operations, which, after netting out capital expenditures, we generally target to approximate net income from continuing operations attributable to common shareowners. For 2016, we expect this to approximate 90% to 100% of net income from continuing operations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w:t>
      </w:r>
    </w:p>
    <w:p>
      <w:pPr>
        <w:spacing w:after="0" w:line="80"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part of our long-term strategy to de-risk our defined benefit pension plans, we entered into an agreement to purchase a group annuity contract to transfer approximately $775 million of our outstanding pension benefit obligations related to certain U.S. retirees or beneficiaries, which was finalized on October 12, 2016. We have also offered certain former U.S. employees or beneficiaries with a vested pension benefit an option to take a one-time lump sum distribution in lieu of future monthly pension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payments, which is expected to reduce our pension benefit obligations by approximately $995 million by the end of 2016. These transactions are expected to reduce the assets of our defined benefit pension plans by approximately $1.5 billion. As a result of these transactions, we expect to recognize a one-time pre-tax pension settlement charge in the range of $400 million to $530 million in the fourth quarter of 2016. See Note 7 to the Condensed Consolidated Financial Statements for further discussion.</w:t>
      </w:r>
    </w:p>
    <w:p>
      <w:pPr>
        <w:spacing w:after="0" w:line="7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Our domestic pension funds experienced a positive return on assets of 9.57% during the first nine months of 2016.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Across our global pension plans, the impact of higher discount rates for pension obligations, a change in the manner of estimating discount rates for service cost and interest cost and the continued recognition of prior pension investment gains, partially offset by a reduction in the expected return on plan assets and 2015 actual returns on plan assets, will result in decreased pension expense in 2016 of approximately $500 million as compared to 2015, excluding the expected one-time pre-tax pension settlement charge discussed above. The $500 million decreased pension expense includes a $215 million decrease as a result of the change in approach to estimating the service and interest components of net periodic pension cost for our significant pension plans, as more fully discussed in Note 7.</w:t>
      </w:r>
    </w:p>
    <w:p>
      <w:pPr>
        <w:spacing w:after="0" w:line="18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Historically, our strong debt ratings and financial position have enabled us to issue long-term debt at favorable market rates. Our ability to obtain debt financing at comparable risk-based interest rates is partly a function of our existing debt-to-total-capitalization level as well as our credit standing. Our debt-to-total-capitalization increased to 42% at September 30, 2016, primarily reflecting additional borrowings in 2015 and 2016 to fund share repurchases. The average maturity of our long-term debt at September 30, 2016 is approximately eleven years. We use our commercial paper borrowings for general corporate purposes, including the funding of potential acquisitions, debt refinancing, and repurchases of our common stock. The need for commercial paper borrowings arises when the use of domestic cash for acquisitions, dividends, and share repurchases exceeds the sum of domestic cash generation and foreign cash repatriated to the U.S.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September 30, 2016, we had revolving credit agreements with various banks permitting aggregate borrowings of up to $4.35 billion pursuant to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 billion revolving credit agreement and a $2.15 billion multicurrency revolving credit agreement, both of which expire in August 2021. As of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2016, there were no borrowings under these revolving credit agreements. The undrawn portions of these revolving credit agreements are also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as backup facilities for the issuance of commercial paper. As of September 30, 2016, our maximum commercial paper borrowing limit was $4.35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22, 2016, we issued €950 million aggregate principal amount of 1.125% notes due 2021, €500 million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1.875% notes due 2026 and €750 million aggregate principal amount of floating rate notes due 2018. The net proceeds from these debt issuances were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general corporate purposes.</w:t>
      </w:r>
    </w:p>
    <w:p>
      <w:pPr>
        <w:spacing w:after="0" w:line="20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May 4, 2015, we completed the previously announced optional remarketing of the 1.550% junior subordinated notes, which were originally issued as part of our equity units on June 18, 2012. As a result of the remarketing, these notes were redesignated as our 1.778% junior subordinated notes due May 4, 2018. On August 3, 2015, we received approximately $1.1 billion from the proceeds of the remarketing, and issued approximately 11.3 million shares of Common Stock to settle the purchase obligation of the holders of the equity units under the purchase contract entered into at the time of the original issuance of the equity units.</w:t>
      </w:r>
    </w:p>
    <w:p>
      <w:pPr>
        <w:spacing w:after="0" w:line="184"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March 13, 2015, we entered into ASR agreements to repurchase an aggregate of $2.65 billion of our common stock, which was largely funded by our commercial paper borrowings. Under the terms of the ASR agreements, we made the aggregate payments and received an initial delivery of approximately 18.6 million shares of our common stock, representing approximately 85% of the shares expected to be repurchased. On July 31, 2015, the shares associated with the remaining portion of the aggregate purchase were settled upon final delivery to us of approximately 4.2 million additional shares of common stock.</w:t>
      </w:r>
    </w:p>
    <w:p>
      <w:pPr>
        <w:spacing w:after="0" w:line="18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On November 6, 2015, we completed the sale of Sikorsky to Lockheed Martin Corp. for approximately $9.1 billion in cash. In connection with the sale of Sikorsky, we have made tax payments of approximately $2.5 billion in 2016. We expect remaining tax payments related to the sale of Sikorsky to be less than $100 million.</w:t>
      </w:r>
    </w:p>
    <w:p>
      <w:pPr>
        <w:spacing w:after="0" w:line="17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agreements, less a discount and subject to adjustments pursuant to the terms and conditions of the ASR agreements. Under the terms of the ASR agreements, we made the aggregate payments and received an initial delivery of approximately 51.9 million shares of our common stock, representing approximately 85% of the shares expected to be repurchased. The shares associated</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the remaining portion of the aggregate purchase price have been settled over six tranches. In January 2016, the shares associated with the remaining portion of the first tranche of the aggregate purchase were settled upon final delivery to us of approximately 2.1 million shares of common stock. In September 2016, the shares associated with the remaining portion of the remaining five tranches of the aggregate purchase were settled upon final delivery to us of approximately 8.0 million additional shares of common stock.</w:t>
      </w:r>
    </w:p>
    <w:p>
      <w:pPr>
        <w:spacing w:after="0" w:line="180" w:lineRule="exact"/>
        <w:rPr>
          <w:sz w:val="20"/>
          <w:szCs w:val="20"/>
          <w:color w:val="auto"/>
        </w:rPr>
      </w:pPr>
    </w:p>
    <w:p>
      <w:pPr>
        <w:ind w:right="80" w:firstLine="540"/>
        <w:spacing w:after="0" w:line="256" w:lineRule="auto"/>
        <w:rPr>
          <w:sz w:val="20"/>
          <w:szCs w:val="20"/>
          <w:color w:val="auto"/>
        </w:rPr>
      </w:pPr>
      <w:r>
        <w:rPr>
          <w:rFonts w:ascii="Times New Roman" w:cs="Times New Roman" w:eastAsia="Times New Roman" w:hAnsi="Times New Roman"/>
          <w:sz w:val="18"/>
          <w:szCs w:val="18"/>
          <w:color w:val="auto"/>
        </w:rPr>
        <w:t>At September 30, 2016, approximately 89% of our cash was held by UTC's foreign subsidiaries, due to our extensive international operations. We manage our worldwide cash requirements by reviewing available funds among the many subsidiaries through which we conduct our business and the cost effectiveness with which those funds can be accessed. The repatriation of cash balances from certain of our subsidiaries could have adverse tax consequences or be subject to capital controls; however, those balances are generally available without legal restrictions to fund ordinary business operations. With few exceptions, U.S. income taxes have not been provided on undistributed earnings of international subsidiaries. Our intention is to reinvest these earnings permanently or to repatriate the earnings only when it is tax effective to do so.</w:t>
      </w:r>
    </w:p>
    <w:p>
      <w:pPr>
        <w:spacing w:after="0" w:line="188" w:lineRule="exact"/>
        <w:rPr>
          <w:sz w:val="20"/>
          <w:szCs w:val="20"/>
          <w:color w:val="auto"/>
        </w:rPr>
      </w:pPr>
    </w:p>
    <w:p>
      <w:pPr>
        <w:ind w:right="20" w:firstLine="540"/>
        <w:spacing w:after="0" w:line="258" w:lineRule="auto"/>
        <w:rPr>
          <w:sz w:val="20"/>
          <w:szCs w:val="20"/>
          <w:color w:val="auto"/>
        </w:rPr>
      </w:pPr>
      <w:r>
        <w:rPr>
          <w:rFonts w:ascii="Times New Roman" w:cs="Times New Roman" w:eastAsia="Times New Roman" w:hAnsi="Times New Roman"/>
          <w:sz w:val="18"/>
          <w:szCs w:val="18"/>
          <w:color w:val="auto"/>
        </w:rPr>
        <w:t>We continue to be involved in litigation with the German Tax Office in the German Tax Court with respect to certain tax benefits that we have claimed related to a 1998 reorganization of the corporate structure of Otis operations in Germany. We made tax and interest payments of approximately $300 million during the nine months ended September 30, 2015, to avoid additional interest accruals while we continue to litigate this matter. We do not expect to make significant additional tax or interest payments pending final resolution of this matter. See Note 15 to the Condensed Consolidated Financial Statements for a further discussion of this German tax litigation.</w:t>
      </w:r>
    </w:p>
    <w:p>
      <w:pPr>
        <w:spacing w:after="0" w:line="18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On occasion, we are required to maintain cash deposits with certain banks with respect to contractual obligations related to acquisitions or divestitures or other legal obligations. As of September 30, 2016 and December 31, 2015, the amount of such restricted cash was approximately $26 million and $45 million, respectively.</w:t>
      </w:r>
    </w:p>
    <w:p>
      <w:pPr>
        <w:spacing w:after="0" w:line="17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We believe our future operating cash flows will be sufficient to meet our future operating cash needs. Further, our ability to obtain debt or equity financing, as well as the availability under committed credit lines, provides additional potential sources of liquidity should they be required or appropriate.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Operating Activities of Continuing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8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provided by operating activities of continuing operations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4,044</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Cash generated from operating activities of continuing operations in the nine months ended September 30, 2016 was approximately $492 million higher than the same period in 2015. Cash outflows for working capital improved by approximately $935 million in the nine months ended September 30, 2016 over the prior year period, which was partially offset by lower net income (net of noncash charges) of approximately $333 million, and the first of four annual payments of CAD $327 million (approximately $237 million) under the previously disclosed 2015 agreement with federal and provincial Canadian government agencies.</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2016, accounts receivable increased approximately $636 million, primarily in our aerospace businesses due to the growth in commercial aerospace OEM and aftermarket sales in the period. Factoring activity in the quarter ended September 30, 2016, excluding customer-funded factoring at Pratt &amp; Whitney related to certain extensions of contractual payment terms, was approximately $375 million higher than the prior year. Increases in inventories were primarily in our aerospace businesses supporting an increase in customers' platform deliveries and related aftermarket demand, and were partially offset by increased accounts payable at these businesses and increased customer advances at Pratt &amp; Whitney and Otis. Increases in accrued liabilities were driven primarily by higher accruals related to taxes and interest due to the timing of payments.</w:t>
      </w:r>
    </w:p>
    <w:p>
      <w:pPr>
        <w:spacing w:after="0" w:line="18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2015, cash outflows for working capital were primarily driven by increases in inventories and accounts receivable, as well as net liquidations of customer advances primarily in Pratt &amp; Whitney's military programs, partially offset by increases in accounts payable. Inventories increased at Pratt &amp; Whitney and UTC Aerospace Systems supporting an increase in customers' platform deliveries and related aftermarket demand, as well as due to Pratt &amp; Whitney's transition to a new third-party material logistics center during the third quarter of 2015. Inventories increased at UTC Climate, Controls &amp; Security, primarily in international HVAC and refrigeration markets, and at Otis supporting significant projects in Europe and Asia. Accounts receivable increased primarily in our commercial businesses, driven by the U.S. commercial and residential HVAC business at UTC Climate, Controls &amp; Security and Otis new equipment sales, primarily in North America. Reductions in accrued liabilities primarily relate to liquidation of customer advances and deferred revenues, as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well as payments of approximately $300 million related to tax and interest accruals on the German tax matter discussed further in Note 15 to the Condensed Consolidated Financial Statements.</w:t>
      </w:r>
    </w:p>
    <w:p>
      <w:pPr>
        <w:spacing w:after="0" w:line="16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during the nine months ended September 30, 2016 and 2015 were $125 million and $93 million, respectively. Although our domestic pension plans are approximately 84% funded on a projected benefit obligation basis as of September 30, 2016, and we are not required to make additional contributions through the end of 2020, we may elect to make discretionary contributions in 2016. We expect to make total cash contributions of approximately $200 million to our global defined benefit pension plans in 2016. Contributions to our global defined benefit pension plans in 2016 are expected to meet or exceed the current funding requirements.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Investing Activities of Continuing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8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300" w:firstLine="567"/>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of continuing operations for the nine months ended September 30, 2016 and 2015 primarily reflect capital expenditures, cash investments in businesses, and payments related to our collaboration intangible assets and contractual rights to provide product on new aircraft platforms.</w:t>
      </w:r>
    </w:p>
    <w:p>
      <w:pPr>
        <w:spacing w:after="0" w:line="176" w:lineRule="exact"/>
        <w:rPr>
          <w:sz w:val="20"/>
          <w:szCs w:val="20"/>
          <w:color w:val="auto"/>
        </w:rPr>
      </w:pPr>
    </w:p>
    <w:p>
      <w:pPr>
        <w:ind w:firstLine="567"/>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2016, our collaboration intangible assets increased by approximately $301 million, of which $261 million resulted from payments made under our 2012 agreement to acquire Rolls-Royce's collaboration interest in IAE. Capital expenditures for the nine months ended September 30, 2016 ($1,043 million) primarily relate to investments in new programs at Pratt &amp; Whitney and UTC Aerospace Systems, as well as new facilities at Pratt &amp; Whitney and UTC Climate, Controls &amp; Security.</w:t>
      </w:r>
    </w:p>
    <w:p>
      <w:pPr>
        <w:spacing w:after="0" w:line="180" w:lineRule="exact"/>
        <w:rPr>
          <w:sz w:val="20"/>
          <w:szCs w:val="20"/>
          <w:color w:val="auto"/>
        </w:rPr>
      </w:pPr>
    </w:p>
    <w:p>
      <w:pPr>
        <w:ind w:firstLine="540"/>
        <w:spacing w:after="0" w:line="258" w:lineRule="auto"/>
        <w:rPr>
          <w:sz w:val="20"/>
          <w:szCs w:val="20"/>
          <w:color w:val="auto"/>
        </w:rPr>
      </w:pPr>
      <w:r>
        <w:rPr>
          <w:rFonts w:ascii="Times New Roman" w:cs="Times New Roman" w:eastAsia="Times New Roman" w:hAnsi="Times New Roman"/>
          <w:sz w:val="18"/>
          <w:szCs w:val="18"/>
          <w:color w:val="auto"/>
        </w:rPr>
        <w:t>Cash investments in businesses in the nine months ended September 30, 2016 ($535 million) consisted of the acquisition of a majority interest in an Italian heating products and services company by UTC Climate, Controls &amp; Security and a number of small acquisitions, primarily in our commercial businesses. We expect total cash investments for acquisitions in 2016 to be approximately $1 billion, including acquisitions completed during the nine months ended September 30, 2016. However, actual acquisition spending may vary depending upon the timing, availability and appropriate value of acquisition opportunities.</w:t>
      </w:r>
    </w:p>
    <w:p>
      <w:pPr>
        <w:spacing w:after="0" w:line="184" w:lineRule="exact"/>
        <w:rPr>
          <w:sz w:val="20"/>
          <w:szCs w:val="20"/>
          <w:color w:val="auto"/>
        </w:rPr>
      </w:pPr>
    </w:p>
    <w:p>
      <w:pPr>
        <w:ind w:right="60" w:firstLine="540"/>
        <w:spacing w:after="0" w:line="255" w:lineRule="auto"/>
        <w:rPr>
          <w:sz w:val="20"/>
          <w:szCs w:val="20"/>
          <w:color w:val="auto"/>
        </w:rPr>
      </w:pPr>
      <w:r>
        <w:rPr>
          <w:rFonts w:ascii="Times New Roman" w:cs="Times New Roman" w:eastAsia="Times New Roman" w:hAnsi="Times New Roman"/>
          <w:sz w:val="18"/>
          <w:szCs w:val="18"/>
          <w:color w:val="auto"/>
        </w:rPr>
        <w:t>As discussed in Note 9 to the Condensed Consolidated Financial Statements, we enter into derivative instruments for risk management purposes only,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nine months ended September 30, 2016 and 2015, we had net cash payments of approximately $29 million and net cash receipts of approximately $147 million, respectively, from the settlement of these derivative instruments.</w:t>
      </w:r>
    </w:p>
    <w:p>
      <w:pPr>
        <w:spacing w:after="0" w:line="189"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Customer financing activities were a net use of cash of $74 million and $128 million for the nine months ended September 30, 2016 and 2015, respectively. While we expect that 2016 customer financing activity will be a net use of funds, actual funding is subject to usage under existing customer financing commitments during the remainder of the year. We may also arrange for third-party investors to assume a portion of our commitments. We had commercial aerospace financing and other contractual commitments of approximately $14.5 billion at September 30, 2016 related to commercial aircraft and certain contractual rights to provide product on new aircraft platforms, of which up to $0.4 billion may be required to be disbursed during the remainder of 2016. We had commercial aerospace financing and other contractual commitments of approximately $14.6 billion at December 31, 2015.</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Financing Activities of Continuing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5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financing activities of continuing operations</w:t>
            </w:r>
          </w:p>
        </w:tc>
        <w:tc>
          <w:tcPr>
            <w:tcW w:w="3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timing and levels of certain cash flow activities, such as acquisitions and repurchases of our stock, have resulted in the issuance of both long-term and short-term debt, including approximately $2.3 billion of net long-term debt issuances in the nine months ended September 30, 2016. Commercial paper borrowings and revolving credit facilities provide short-term liquidity to supplement operating cash flows and are used for general corporate purposes, including the funding of potential acquisitions and repurchases of our stock. We had approximately $780 million of outstanding commercial paper at September 30, 2016.</w:t>
      </w:r>
    </w:p>
    <w:p>
      <w:pPr>
        <w:spacing w:after="0" w:line="18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At September 30, 2016, management had remaining authority to repurchase approximately $5.3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Other than the transactions under the ASR agreements discussed above, we made cash payments of approximately $528 million to repurchase approximately 5.2 million shares of our common stock during the nine months ended September 30, 2016. We expect 2016 full year share repurchases to be approximately $2 billion to $3 billion, which we expect to largely fund through additional borrowings in the fourth quarter of 2016. During the nine months ended September 30, 2015, we repurchased approximately 14 million shares of our common stock for approximately $1.35 billion, in addition to the shares repurchased under the $2.65 billion ASR discussed above. Our share repurchase levels are influenced by various factors, including the level of other investing activities.</w:t>
      </w:r>
    </w:p>
    <w:p>
      <w:pPr>
        <w:spacing w:after="0" w:line="189"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We paid dividends on common stock of $0.64 per share in the first quarter of 2016 and $0.66 per share in both the second and third quarters of 2016, totaling approximately $1,561 million in the aggregate for the nine months ended September 30, 2016. On October 12, 2016, the Board of Directors declared a dividend of $0.66 per share payable December 10, 2016 to shareowners of record at the close of business on November 18, 2016.</w:t>
      </w:r>
    </w:p>
    <w:p>
      <w:pPr>
        <w:spacing w:after="0" w:line="17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On April 29, 2016, we renewed our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 Discontinued Operations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8"/>
        </w:trPr>
        <w:tc>
          <w:tcPr>
            <w:tcW w:w="8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9"/>
                <w:szCs w:val="19"/>
                <w:color w:val="auto"/>
              </w:rPr>
            </w:pPr>
          </w:p>
        </w:tc>
        <w:tc>
          <w:tcPr>
            <w:tcW w:w="12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flows used in discontinued operations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Cash flows used in discontinued operations primarily represent cash flows related to Sikorsky. For the nine months ended September 30, 2016, cash flows used in operating activities of discontinued operations primarily reflect the payment of taxes associated with the net gain realized on the sale of Sikorsky to Lockheed Martin Corp. in November 2015.</w:t>
      </w:r>
    </w:p>
    <w:p>
      <w:pPr>
        <w:spacing w:after="0" w:line="176"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2015, cash flows used in operating activities of discontinued operations resulted primarily from operating income of approximately $250 million, which was more than offset by investments in working capital and other net operating assets, primarily through reductions in accounts payable, customer advances and accrued liabilities, and partially offset by reductions in accounts receivable. Cash flows used in investing activities of discontinued operations were driven by capital expenditures of Sikorsky.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In our 2015 Annual Report, incorporated by reference in our 2015 Form 10-K, we disclosed our off-balance sheet arrangements and contractual obligations. As of September 30, 2016, there have been no material changes to these off-balance sheet arrangements and contractual obligations outside the ordinary course of business.</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significant change in our exposure to market risk during the nine months ended September 30, 2016. For discussion of our exposure to market risk, refer to Part II, Item 7A, "Quantitative and Qualitative Disclosures About Market Risk," contained in our 2015 Form 10-K.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as of September 30, 2016.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September</w:t>
      </w:r>
    </w:p>
    <w:p>
      <w:pPr>
        <w:spacing w:after="0" w:line="254" w:lineRule="auto"/>
        <w:rPr>
          <w:sz w:val="20"/>
          <w:szCs w:val="20"/>
          <w:color w:val="auto"/>
        </w:rPr>
      </w:pPr>
      <w:r>
        <w:rPr>
          <w:rFonts w:ascii="Times New Roman" w:cs="Times New Roman" w:eastAsia="Times New Roman" w:hAnsi="Times New Roman"/>
          <w:sz w:val="18"/>
          <w:szCs w:val="18"/>
          <w:color w:val="auto"/>
        </w:rPr>
        <w:t>30, 2016,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86"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nine months ended September 30, 2016,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Cautionary Note Concerning Factors That May Affect Future Results</w:t>
      </w:r>
    </w:p>
    <w:p>
      <w:pPr>
        <w:spacing w:after="0" w:line="273"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"confident" and other words of similar meaning in connection with a discussion of future operating or financial performance. Forward-looking statements may include, among other things, statements relating to future sales, earnings, cash flow, results of operations, uses of cash, share repurchases and other measures of financial performance or potential future plans, strategies or transactions.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139" w:lineRule="exact"/>
        <w:rPr>
          <w:sz w:val="20"/>
          <w:szCs w:val="20"/>
          <w:color w:val="auto"/>
        </w:rPr>
      </w:pPr>
    </w:p>
    <w:p>
      <w:pPr>
        <w:ind w:left="740" w:right="160" w:hanging="327"/>
        <w:spacing w:after="0" w:line="261"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126" w:lineRule="exact"/>
        <w:rPr>
          <w:rFonts w:ascii="Times New Roman" w:cs="Times New Roman" w:eastAsia="Times New Roman" w:hAnsi="Times New Roman"/>
          <w:sz w:val="18"/>
          <w:szCs w:val="18"/>
          <w:color w:val="auto"/>
        </w:rPr>
      </w:pPr>
    </w:p>
    <w:p>
      <w:pPr>
        <w:ind w:left="740" w:right="6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development, production, delivery, support, performance and realization of the anticipated benefits of advanced technologies and new products and services;</w:t>
      </w:r>
    </w:p>
    <w:p>
      <w:pPr>
        <w:spacing w:after="0" w:line="10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indebtedness and capital spending and research and development spending;</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availability of credit and factors that may affect such availability, including credit market conditions and our capital structure;</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disruption in delivery of materials and services from suppliers;</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Company- directed cost reduction efforts and restructuring costs and savings and other consequences thereof;</w:t>
      </w:r>
    </w:p>
    <w:p>
      <w:pPr>
        <w:spacing w:after="0" w:line="171" w:lineRule="exact"/>
        <w:rPr>
          <w:rFonts w:ascii="Times New Roman" w:cs="Times New Roman" w:eastAsia="Times New Roman" w:hAnsi="Times New Roman"/>
          <w:sz w:val="18"/>
          <w:szCs w:val="18"/>
          <w:color w:val="auto"/>
        </w:rPr>
      </w:pPr>
    </w:p>
    <w:p>
      <w:pPr>
        <w:ind w:left="740" w:right="8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nature, impact or timing of acquisition and divestiture activity, including among other things integration of acquired businesses into our existing businesses and realization of synergies and opportunities for growth and innovation;</w:t>
      </w:r>
    </w:p>
    <w:p>
      <w:pPr>
        <w:spacing w:after="0" w:line="10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 opportunities;</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intended benefits of organizational changes;</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diversification and balance of operations across product lines, regions and industries;</w:t>
      </w:r>
    </w:p>
    <w:p>
      <w:pPr>
        <w:spacing w:after="0" w:line="171" w:lineRule="exact"/>
        <w:rPr>
          <w:rFonts w:ascii="Times New Roman" w:cs="Times New Roman" w:eastAsia="Times New Roman" w:hAnsi="Times New Roman"/>
          <w:sz w:val="18"/>
          <w:szCs w:val="18"/>
          <w:color w:val="auto"/>
        </w:rPr>
      </w:pPr>
    </w:p>
    <w:p>
      <w:pPr>
        <w:ind w:left="740" w:right="24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future repurchases of our common stoc</w:t>
      </w:r>
      <w:r>
        <w:rPr>
          <w:rFonts w:ascii="Times New Roman" w:cs="Times New Roman" w:eastAsia="Times New Roman" w:hAnsi="Times New Roman"/>
          <w:sz w:val="16"/>
          <w:szCs w:val="16"/>
          <w:color w:val="auto"/>
        </w:rPr>
        <w:t>k,</w:t>
      </w:r>
      <w:r>
        <w:rPr>
          <w:rFonts w:ascii="Times New Roman" w:cs="Times New Roman" w:eastAsia="Times New Roman" w:hAnsi="Times New Roman"/>
          <w:sz w:val="18"/>
          <w:szCs w:val="18"/>
          <w:color w:val="auto"/>
        </w:rPr>
        <w:t xml:space="preserve"> which may be suspended at any time due to market conditions and the level of other investing activities and uses of cash;</w:t>
      </w:r>
    </w:p>
    <w:p>
      <w:pPr>
        <w:spacing w:after="0" w:line="10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proceedings, investigations and other contingencies;</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assumptions and future contributions;</w:t>
      </w:r>
    </w:p>
    <w:p>
      <w:pPr>
        <w:spacing w:after="0" w:line="17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negotiation of collective bargaining agreements and labor disputes;</w:t>
      </w:r>
    </w:p>
    <w:p>
      <w:pPr>
        <w:spacing w:after="0" w:line="171"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political conditions in the U.S. and other countries in which we operate, including but not limited to the effect of the U.K.'s pending withdrawal from the EU, on general market conditions and currency exchange rates in the near term and beyond; and</w:t>
      </w:r>
    </w:p>
    <w:p>
      <w:pPr>
        <w:spacing w:after="0" w:line="107"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tax, environmental, regulatory (including among other things import/export) and other laws and regulations in the U.S. and other countries in which we operate.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240" w:top="118" w:right="31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5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addition, this Form 10-Q includes important information as to risks, uncertainties and other factors that may cause actual results to differ materially from those expressed or implied in the forward-looking statements. See the "Notes to Consolidated Financial Statements" under the heading "Note 15: Contingent Liabilities," the section titled "Management's Discussion and Analysis of Financial Condition and Results of Operations" under the headings "Business Overview," "Results of Operations," "Liquidity and Financial Condition," and "Critical Accounting Estimates," and the sections titled "Legal Proceedings" and "Risk Factors" in this Form 10-Q and in our 2015 Annual Report. Additional important information as to these factors is included in our 2015 Annual Report in the section titled "Management's Discussion and Analysis of Financial Condition and Results of Operations" under the headings "Restructuring Costs," "Environmental Matters" and "Governmental Matters" and in our 2015 Form 10-K in the "Business" section under the headings "General," "Description of Business by Segment" and "Other Matters Relating to Our Business as a Whole."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Export Violations</w:t>
      </w:r>
    </w:p>
    <w:p>
      <w:pPr>
        <w:spacing w:after="0" w:line="26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As previously disclosed, on June 28, 2012, we entered into a four-year Consent Agreement (CA) with the U.S. State Department’s Office of Defense Trade Controls Compliance (DTCC) to resolve violations of the U.S. Arms Export Control Act (AECA) and International Traffic in Arms Regulations (ITAR) that we had voluntarily disclosed to DTCC. DTCC officially closed the CA on October 11, 2016.</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As previously disclosed, in June 2012, DTCC imposed a partial statutory debarment on P&amp;WC with respect to obtaining new or renewed ITAR license privileges following P&amp;WC's guilty plea to criminal violation of the AECA and ITAR. The debarment does not affect ITAR licenses/authorizations existing at the time of the partial debarment, nor does it extend to programs supporting: (1) the U.S. Government; (2) NATO allies; or (3) "major non-NATO allies" (as defined in the ITAR). P&amp;WC may seek and has received "transaction exception" approvals on a case-by-case basis for new or renewed ITAR licensing in other cases during the period of debarment. In February 2015, P&amp;WC applied for full reinstatement of its ITAR privileges. DTCC’s decision on P&amp;WC’s application is pending. UTC expects DTCC to terminate the debarment and reinstate P&amp;WC’s full ITAR privileges, and we are awaiting formal action.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15, Contingent Liabilities, for discussion regarding other legal proceedings.</w:t>
      </w:r>
    </w:p>
    <w:p>
      <w:pPr>
        <w:spacing w:after="0" w:line="22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Except as otherwise noted above, there have been no material developments in legal proceedings. For previously reported information about legal proceedings refer to Part I, Item 3, "Legal Proceedings," of our 2015 Form 10-K and Part II, Item 1, "Legal Proceedings," of our 2016 Form 10-Q (Q1) and 2016 Form 10-Q (Q2).</w:t>
      </w:r>
    </w:p>
    <w:p>
      <w:pPr>
        <w:spacing w:after="0" w:line="2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have been no material changes in the Company's risk factors from those disclosed in Part I, Item 1A, Risk Factors, in our 2015 Form 10-K.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purchases during the quarter ended September 30, 2016 of equity securities that are registered by us pursuant to Section 12 of the Exchange Act.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9"/>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4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 July 31</w:t>
            </w:r>
          </w:p>
        </w:tc>
        <w:tc>
          <w:tcPr>
            <w:tcW w:w="2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 August 31</w:t>
            </w:r>
          </w:p>
        </w:tc>
        <w:tc>
          <w:tcPr>
            <w:tcW w:w="2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5,964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 September 30 *</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6,374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101.91</w:t>
            </w:r>
          </w:p>
        </w:tc>
        <w:tc>
          <w:tcPr>
            <w:tcW w:w="2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6,374</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September ASR settlement</w:t>
            </w:r>
          </w:p>
        </w:tc>
        <w:tc>
          <w:tcPr>
            <w:tcW w:w="18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8,042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8,042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14,416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101.91</w:t>
            </w:r>
          </w:p>
        </w:tc>
        <w:tc>
          <w:tcPr>
            <w:tcW w:w="2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14,416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0" w:hanging="250"/>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approximately 1.5 million shares, at an average price paid of $101.84 per share, which were cash-settled in October 2016.</w:t>
      </w:r>
    </w:p>
    <w:p>
      <w:pPr>
        <w:spacing w:after="0" w:line="99"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On October 14, 2015, our Board of Directors authorized a share repurchase program for up to $12 billion of our common stock, replacing the program announced on July 19, 2015. At September 30, 2016, the maximum dollar value of shares that may yet be purchased under this current program was approximately $5,314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No shares were reacquired in transactions outside the program during the quarter ended September 30, 2016.</w:t>
      </w:r>
    </w:p>
    <w:p>
      <w:pPr>
        <w:spacing w:after="0" w:line="188"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On November 11, 2015, we entered into ASR agreements to repurchase an aggregate of $6 billion of our common stock utilizing the net after-tax proceeds from the sale of Sikorsky. The ASR agreements provide for the repurchase of our common stock based on the average of the daily volume-weighted average prices of our common stock during the term of such ASR agreement, less a discount and subject to adjustments pursuant to the terms and conditions of the ASR agreement. Under the terms of the ASR agreements, we made the aggregate payments and received an initial delivery of approximately 51.9 million shares of our common stock, representing approximately 85% of the shares expected to be repurchased. The shares associated with the remaining portion of the aggregate purchase price have been settled over six tranches. In January 2016, the shares associated with the remaining portion of the first tranche of the aggregate purchase were settled upon final delivery to us of approximately 2,078 thousand shares of common stock. In September, 2016, the shares associated with the remaining portion of the remaining five tranches of the aggregate purchase were settled upon final delivery to us of approximately 8,042 thousand additional shares of common stock. Including the remaining shares associated with the six tranches settled in 2016, the final price under the November 11, 2015 ASR was $96.74 per share.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86"/>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040" w:type="dxa"/>
            <w:vAlign w:val="bottom"/>
            <w:tcBorders>
              <w:top w:val="single" w:sz="8" w:color="auto"/>
            </w:tcBorders>
          </w:tcPr>
          <w:p>
            <w:pPr>
              <w:jc w:val="center"/>
              <w:ind w:right="417"/>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4"/>
                <w:szCs w:val="24"/>
                <w:color w:val="auto"/>
              </w:rPr>
            </w:pPr>
          </w:p>
        </w:tc>
        <w:tc>
          <w:tcPr>
            <w:tcW w:w="10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center"/>
              <w:ind w:right="417"/>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24"/>
                <w:szCs w:val="24"/>
                <w:color w:val="auto"/>
              </w:rPr>
            </w:pPr>
          </w:p>
        </w:tc>
        <w:tc>
          <w:tcPr>
            <w:tcW w:w="10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80" w:hanging="1010"/>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13a-14(a)/15d-14(a) Certifications.*</w:t>
      </w:r>
    </w:p>
    <w:p>
      <w:pPr>
        <w:spacing w:after="0" w:line="184" w:lineRule="exact"/>
        <w:rPr>
          <w:rFonts w:ascii="Times New Roman" w:cs="Times New Roman" w:eastAsia="Times New Roman" w:hAnsi="Times New Roman"/>
          <w:sz w:val="18"/>
          <w:szCs w:val="18"/>
          <w:color w:val="auto"/>
        </w:rPr>
      </w:pPr>
    </w:p>
    <w:p>
      <w:pPr>
        <w:ind w:left="1180" w:hanging="1010"/>
        <w:spacing w:after="0"/>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utx-20160930.xsd)</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utx-20160930_cal.xml)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utx-20160930_def.xml)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utx-20160930_lab.xml)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utx-20160930_pre.xml)</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Statements of Operations for the quarters and nine months ended September 30, 2016 and 2015, (ii) Condensed Consolidated Statements of Comprehensive Income for the quarters and nine months ended September 30, 2016 and 2015, (iii) Condensed Consolidated Balance Sheets as of September 30, 2016 and December 31, 2015, (iv) Condensed Consolidated Statements of Cash Flows for the nine months ended September 30, 2016 and 2015, and (v)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8" w:right="25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166" w:lineRule="exact"/>
        <w:rPr>
          <w:sz w:val="20"/>
          <w:szCs w:val="20"/>
          <w:color w:val="auto"/>
        </w:rPr>
      </w:pPr>
    </w:p>
    <w:p>
      <w:pPr>
        <w:ind w:left="40"/>
        <w:spacing w:after="0"/>
        <w:tabs>
          <w:tab w:leader="none" w:pos="820" w:val="left"/>
          <w:tab w:leader="none" w:pos="4940" w:val="left"/>
          <w:tab w:leader="none" w:pos="76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Akhil Johri</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Executive Vice President &amp; Chief Financial Officer</w:t>
      </w: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Financial Officer)</w:t>
      </w:r>
    </w:p>
    <w:p>
      <w:pPr>
        <w:spacing w:after="0" w:line="360" w:lineRule="exact"/>
        <w:rPr>
          <w:sz w:val="20"/>
          <w:szCs w:val="20"/>
          <w:color w:val="auto"/>
        </w:rPr>
      </w:pPr>
    </w:p>
    <w:p>
      <w:pPr>
        <w:ind w:left="40"/>
        <w:spacing w:after="0"/>
        <w:tabs>
          <w:tab w:leader="none" w:pos="820" w:val="left"/>
          <w:tab w:leader="none" w:pos="4940" w:val="left"/>
          <w:tab w:leader="none" w:pos="7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0"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Robert J. Bailey</w:t>
      </w:r>
    </w:p>
    <w:p>
      <w:pPr>
        <w:spacing w:after="0" w:line="9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4"/>
          <w:szCs w:val="14"/>
          <w:b w:val="1"/>
          <w:bCs w:val="1"/>
          <w:color w:val="auto"/>
        </w:rPr>
        <w:t>Corporate Vice President, Controller</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 Accounting Officer)</w:t>
      </w:r>
    </w:p>
    <w:p>
      <w:pPr>
        <w:spacing w:after="0" w:line="2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20"/>
          </w:cols>
          <w:pgMar w:left="240" w:top="118" w:right="3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4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04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02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re: computation of ratio of earnings to fixed charges.*</w:t>
            </w:r>
          </w:p>
        </w:tc>
        <w:tc>
          <w:tcPr>
            <w:tcW w:w="0" w:type="dxa"/>
            <w:vAlign w:val="bottom"/>
          </w:tcPr>
          <w:p>
            <w:pPr>
              <w:spacing w:after="0"/>
              <w:rPr>
                <w:sz w:val="1"/>
                <w:szCs w:val="1"/>
                <w:color w:val="auto"/>
              </w:rPr>
            </w:pPr>
          </w:p>
        </w:tc>
      </w:tr>
      <w:tr>
        <w:trPr>
          <w:trHeight w:val="392"/>
        </w:trPr>
        <w:tc>
          <w:tcPr>
            <w:tcW w:w="104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10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Letter re: unaudited interim financial information.*</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80" w:hanging="1010"/>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13a-14(a)/15d-14(a) Certifications.*</w:t>
      </w:r>
    </w:p>
    <w:p>
      <w:pPr>
        <w:spacing w:after="0" w:line="184" w:lineRule="exact"/>
        <w:rPr>
          <w:rFonts w:ascii="Times New Roman" w:cs="Times New Roman" w:eastAsia="Times New Roman" w:hAnsi="Times New Roman"/>
          <w:sz w:val="18"/>
          <w:szCs w:val="18"/>
          <w:color w:val="auto"/>
        </w:rPr>
      </w:pPr>
    </w:p>
    <w:p>
      <w:pPr>
        <w:ind w:left="1180" w:hanging="1010"/>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utx-20160930.xsd)</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utx-20160930_cal.xml)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utx-20160930_def.xml)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utx-20160930_lab.xml)</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r>
        <w:trPr>
          <w:trHeight w:val="234"/>
        </w:trPr>
        <w:tc>
          <w:tcPr>
            <w:tcW w:w="900" w:type="dxa"/>
            <w:vAlign w:val="bottom"/>
          </w:tcPr>
          <w:p>
            <w:pPr>
              <w:spacing w:after="0"/>
              <w:rPr>
                <w:sz w:val="20"/>
                <w:szCs w:val="20"/>
                <w:color w:val="auto"/>
              </w:rPr>
            </w:pPr>
          </w:p>
        </w:tc>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 name: utx-20160930_pre.xml)</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Exhibits List:</w:t>
      </w:r>
    </w:p>
    <w:p>
      <w:pPr>
        <w:spacing w:after="0" w:line="229"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Statements of Operations for the quarters and nine months ended September 30, 2016 and 2015, (ii) Condensed Consolidated Statements of Comprehensive Income for the quarters and nine months ended September 30, 2016 and 2015, (iii) Condensed Consolidated Balance Sheets as of September 30, 2016 and December 31, 2015, (iv) Condensed Consolidated Statements of Cash Flows for the nine months ended September 30, 2016 and 2015, and (v)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8" w:right="259" w:bottom="1440" w:gutter="0" w:footer="0" w:header="0"/>
        </w:sectPr>
      </w:pPr>
    </w:p>
    <w:bookmarkStart w:id="51" w:name="page52"/>
    <w:bookmarkEnd w:id="51"/>
    <w:p>
      <w:pPr>
        <w:ind w:left="10620"/>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STATEMENT RE: COMPUTATION OF RATIO OF EARNINGS TO FIXED CHARGES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8"/>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9"/>
                <w:szCs w:val="19"/>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2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5"/>
                <w:szCs w:val="25"/>
                <w:color w:val="auto"/>
                <w:vertAlign w:val="superscript"/>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8320" w:type="dxa"/>
            <w:vAlign w:val="bottom"/>
            <w:tcBorders>
              <w:bottom w:val="single" w:sz="8" w:color="CCEEFF"/>
            </w:tcBorders>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One-third of rents </w:t>
            </w:r>
            <w:r>
              <w:rPr>
                <w:rFonts w:ascii="Times New Roman" w:cs="Times New Roman" w:eastAsia="Times New Roman" w:hAnsi="Times New Roman"/>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Earnings:</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Fixed charges per above</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capitalized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interest capitalized</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right="40" w:hanging="332"/>
        <w:spacing w:after="0" w:line="233"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Pursuant to the guidance in the Income Taxes Topic of the Financial Accounting Standards Board Accounting Standards Codification, interest related to unrecognized tax benefits recorded was approximately $31 million and $27 million for the nine months ended September 30, 2016 and 2015, respectively. The ratio of earnings to fixed charges would have been 8.06 and 8.90 for the nine months ended September 30, 2016 and 2015, respectively, if such interest were excluded from the calculation.</w:t>
      </w:r>
    </w:p>
    <w:p>
      <w:pPr>
        <w:spacing w:after="0" w:line="9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Reasonable approximation of the interest factor.</w:t>
      </w:r>
    </w:p>
    <w:p>
      <w:pPr>
        <w:sectPr>
          <w:pgSz w:w="11900" w:h="16838" w:orient="portrait"/>
          <w:cols w:equalWidth="0" w:num="1">
            <w:col w:w="11420"/>
          </w:cols>
          <w:pgMar w:left="240" w:top="576"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2016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are aware that our report dated October 27, 2016 on our review of interim financial information of United Technologies Corporation (the "Corporation") for the three-month and nine-month periods ended September 30, 2016 and 2015 and included in the Corporation's quarterly report on Form 10-Q for the quarter ended September 30, 2016 is incorporated by reference in its Registration Statement on Form S-3 (No. 333-211035) and in the Registration Statements on Form S-8 (Nos. 333-207193, 333-197704, 333-183123, 333-177520, 333-175781, 333-150643, 333-125293, 333-110020, 333-100724, 333-100723, 333-100718 and 033-51385).</w:t>
      </w: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241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Hartford, Connecticut</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27, 2016</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27, 2016</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Technologies Corporation;</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620" w:right="20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620" w:right="26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620" w:right="60" w:hanging="640"/>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620" w:right="60" w:hanging="640"/>
        <w:spacing w:after="0" w:line="266"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620" w:right="300" w:hanging="640"/>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20" w:right="580" w:hanging="640"/>
        <w:spacing w:after="0" w:line="282" w:lineRule="auto"/>
        <w:tabs>
          <w:tab w:leader="none" w:pos="1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600" w:val="left"/>
          <w:tab w:leader="none" w:pos="6640" w:val="left"/>
        </w:tabs>
        <w:rPr>
          <w:sz w:val="20"/>
          <w:szCs w:val="20"/>
          <w:color w:val="auto"/>
        </w:rPr>
      </w:pPr>
      <w:r>
        <w:rPr>
          <w:rFonts w:ascii="Times New Roman" w:cs="Times New Roman" w:eastAsia="Times New Roman" w:hAnsi="Times New Roman"/>
          <w:sz w:val="18"/>
          <w:szCs w:val="18"/>
          <w:color w:val="auto"/>
        </w:rPr>
        <w:t>Date:</w:t>
        <w:tab/>
        <w:t>October 27, 2016</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Corporate Vice President, Controller</w:t>
      </w:r>
    </w:p>
    <w:p>
      <w:pPr>
        <w:sectPr>
          <w:pgSz w:w="11900" w:h="16838" w:orient="portrait"/>
          <w:cols w:equalWidth="0" w:num="1">
            <w:col w:w="11420"/>
          </w:cols>
          <w:pgMar w:left="240" w:top="576"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153"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does hereby certify that:</w:t>
      </w:r>
    </w:p>
    <w:p>
      <w:pPr>
        <w:spacing w:after="0" w:line="108" w:lineRule="exact"/>
        <w:rPr>
          <w:sz w:val="20"/>
          <w:szCs w:val="20"/>
          <w:color w:val="auto"/>
        </w:rPr>
      </w:pPr>
    </w:p>
    <w:p>
      <w:pPr>
        <w:ind w:right="400" w:firstLine="432"/>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2016 (the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311"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Gregory J. Hayes</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/s/ A</w:t>
      </w:r>
      <w:r>
        <w:rPr>
          <w:rFonts w:ascii="Times New Roman" w:cs="Times New Roman" w:eastAsia="Times New Roman" w:hAnsi="Times New Roman"/>
          <w:sz w:val="14"/>
          <w:szCs w:val="14"/>
          <w:color w:val="auto"/>
        </w:rPr>
        <w:t>KHIL</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Akhil Johri</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p>
      <w:pPr>
        <w:spacing w:after="0" w:line="387" w:lineRule="exact"/>
        <w:rPr>
          <w:sz w:val="20"/>
          <w:szCs w:val="20"/>
          <w:color w:val="auto"/>
        </w:rPr>
      </w:pPr>
    </w:p>
    <w:p>
      <w:pPr>
        <w:ind w:left="40"/>
        <w:spacing w:after="0"/>
        <w:tabs>
          <w:tab w:leader="none" w:pos="700" w:val="left"/>
          <w:tab w:leader="none" w:pos="5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2016</w:t>
      </w:r>
      <w:r>
        <w:rPr>
          <w:sz w:val="20"/>
          <w:szCs w:val="20"/>
          <w:color w:val="auto"/>
        </w:rPr>
        <w:tab/>
      </w: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Robert J. Bailey</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Corporate Vice President, Controller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abstractNum>
  <w:abstractNum w:abstractNumId="6">
    <w:nsid w:val="3352255A"/>
    <w:multiLevelType w:val="hybridMultilevel"/>
    <w:lvl w:ilvl="0">
      <w:lvlJc w:val="left"/>
      <w:lvlText w:val="&amp;"/>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3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3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bullet"/>
      <w:start w:val="1"/>
    </w:lvl>
  </w:abstractNum>
  <w:abstractNum w:abstractNumId="15">
    <w:nsid w:val="519B500D"/>
    <w:multiLevelType w:val="hybridMultilevel"/>
    <w:lvl w:ilvl="0">
      <w:lvlJc w:val="left"/>
      <w:lvlText w:val="2"/>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2019-12-29T10:45:23Z</dcterms:created>
  <dcterms:modified xsi:type="dcterms:W3CDTF">2019-12-29T10:45:23Z</dcterms:modified>
</cp:coreProperties>
</file>