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673735</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b w:val="1"/>
          <w:bCs w:val="1"/>
          <w:color w:val="auto"/>
        </w:rPr>
        <w:t>May 1, 2025</w:t>
      </w:r>
    </w:p>
    <w:p>
      <w:pPr>
        <w:spacing w:after="0" w:line="6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RTX CORPORATION</w:t>
      </w:r>
    </w:p>
    <w:p>
      <w:pPr>
        <w:spacing w:after="0" w:line="68"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7020" w:type="dxa"/>
            <w:vAlign w:val="bottom"/>
            <w:gridSpan w:val="3"/>
          </w:tcPr>
          <w:p>
            <w:pPr>
              <w:jc w:val="center"/>
              <w:ind w:left="3016"/>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2800" w:type="dxa"/>
            <w:vAlign w:val="bottom"/>
          </w:tcPr>
          <w:p>
            <w:pPr>
              <w:spacing w:after="0"/>
              <w:rPr>
                <w:sz w:val="20"/>
                <w:szCs w:val="20"/>
                <w:color w:val="auto"/>
              </w:rPr>
            </w:pPr>
          </w:p>
        </w:tc>
      </w:tr>
      <w:tr>
        <w:trPr>
          <w:trHeight w:val="241"/>
        </w:trPr>
        <w:tc>
          <w:tcPr>
            <w:tcW w:w="702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800" w:type="dxa"/>
            <w:vAlign w:val="bottom"/>
          </w:tcPr>
          <w:p>
            <w:pPr>
              <w:spacing w:after="0"/>
              <w:rPr>
                <w:sz w:val="20"/>
                <w:szCs w:val="20"/>
                <w:color w:val="auto"/>
              </w:rPr>
            </w:pPr>
          </w:p>
        </w:tc>
      </w:tr>
      <w:tr>
        <w:trPr>
          <w:trHeight w:val="239"/>
        </w:trPr>
        <w:tc>
          <w:tcPr>
            <w:tcW w:w="4060" w:type="dxa"/>
            <w:vAlign w:val="bottom"/>
          </w:tcPr>
          <w:p>
            <w:pPr>
              <w:jc w:val="center"/>
              <w:ind w:righ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001-00812</w:t>
            </w:r>
          </w:p>
        </w:tc>
        <w:tc>
          <w:tcPr>
            <w:tcW w:w="1020" w:type="dxa"/>
            <w:vAlign w:val="bottom"/>
          </w:tcPr>
          <w:p>
            <w:pPr>
              <w:spacing w:after="0"/>
              <w:rPr>
                <w:sz w:val="20"/>
                <w:szCs w:val="20"/>
                <w:color w:val="auto"/>
              </w:rPr>
            </w:pPr>
          </w:p>
        </w:tc>
        <w:tc>
          <w:tcPr>
            <w:tcW w:w="280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85"/>
        </w:trPr>
        <w:tc>
          <w:tcPr>
            <w:tcW w:w="4060" w:type="dxa"/>
            <w:vAlign w:val="bottom"/>
          </w:tcPr>
          <w:p>
            <w:pPr>
              <w:jc w:val="center"/>
              <w:ind w:right="1316"/>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(Commission File Number)</w:t>
            </w:r>
          </w:p>
        </w:tc>
        <w:tc>
          <w:tcPr>
            <w:tcW w:w="1020" w:type="dxa"/>
            <w:vAlign w:val="bottom"/>
          </w:tcPr>
          <w:p>
            <w:pPr>
              <w:spacing w:after="0"/>
              <w:rPr>
                <w:sz w:val="16"/>
                <w:szCs w:val="16"/>
                <w:color w:val="auto"/>
              </w:rPr>
            </w:pPr>
          </w:p>
        </w:tc>
        <w:tc>
          <w:tcPr>
            <w:tcW w:w="2800" w:type="dxa"/>
            <w:vAlign w:val="bottom"/>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0"/>
        </w:trPr>
        <w:tc>
          <w:tcPr>
            <w:tcW w:w="406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1000 Wilson Blvd.,</w:t>
            </w:r>
          </w:p>
        </w:tc>
        <w:tc>
          <w:tcPr>
            <w:tcW w:w="19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800" w:type="dxa"/>
            <w:vAlign w:val="bottom"/>
          </w:tcPr>
          <w:p>
            <w:pPr>
              <w:jc w:val="right"/>
              <w:ind w:right="2278"/>
              <w:spacing w:after="0"/>
              <w:rPr>
                <w:sz w:val="20"/>
                <w:szCs w:val="20"/>
                <w:color w:val="auto"/>
              </w:rPr>
            </w:pPr>
            <w:r>
              <w:rPr>
                <w:rFonts w:ascii="Times New Roman" w:cs="Times New Roman" w:eastAsia="Times New Roman" w:hAnsi="Times New Roman"/>
                <w:sz w:val="18"/>
                <w:szCs w:val="18"/>
                <w:b w:val="1"/>
                <w:bCs w:val="1"/>
                <w:color w:val="auto"/>
                <w:w w:val="93"/>
              </w:rPr>
              <w:t>22209</w:t>
            </w:r>
          </w:p>
        </w:tc>
      </w:tr>
    </w:tbl>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4" w:lineRule="exact"/>
        <w:rPr>
          <w:sz w:val="24"/>
          <w:szCs w:val="24"/>
          <w:color w:val="auto"/>
        </w:rPr>
      </w:pPr>
    </w:p>
    <w:p>
      <w:pPr>
        <w:ind w:left="5620" w:hanging="699"/>
        <w:spacing w:after="0"/>
        <w:tabs>
          <w:tab w:leader="none" w:pos="56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4" w:lineRule="exact"/>
        <w:rPr>
          <w:sz w:val="24"/>
          <w:szCs w:val="24"/>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2" w:lineRule="exact"/>
        <w:rPr>
          <w:sz w:val="24"/>
          <w:szCs w:val="24"/>
          <w:color w:val="auto"/>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6"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86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32"/>
        </w:trPr>
        <w:tc>
          <w:tcPr>
            <w:tcW w:w="344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6"/>
        </w:trPr>
        <w:tc>
          <w:tcPr>
            <w:tcW w:w="344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29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bl>
    <w:p>
      <w:pPr>
        <w:spacing w:after="0" w:line="216" w:lineRule="exact"/>
        <w:rPr>
          <w:sz w:val="24"/>
          <w:szCs w:val="24"/>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ind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513715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50" w:right="399" w:bottom="1440" w:gutter="0" w:footer="0" w:header="0"/>
        </w:sectPr>
      </w:pPr>
    </w:p>
    <w:bookmarkStart w:id="1" w:name="page2"/>
    <w:bookmarkEnd w:id="1"/>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899160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Company held its 2025 Annual Meeting of Shareowners on May 1, 2025. As of March 4, 2025, the record date for the meeting, 1,335,089,924 shares of Company common stock were issued and outstanding. A quorum of 1,185,960,406 shares of common stock was present or represented at the meeting. Set forth below are the final voting results for each of the matters submitted to a vote of the shareowners. For more information about the proposals set forth below, please see the Company’s definitive proxy statement filed with the Securities and Exchange Commission on March 10, 2025.</w:t>
      </w:r>
    </w:p>
    <w:p>
      <w:pPr>
        <w:spacing w:after="0" w:line="90" w:lineRule="exact"/>
        <w:rPr>
          <w:sz w:val="20"/>
          <w:szCs w:val="20"/>
          <w:color w:val="auto"/>
        </w:rPr>
      </w:pPr>
    </w:p>
    <w:p>
      <w:pPr>
        <w:ind w:left="320" w:right="80" w:hanging="315"/>
        <w:spacing w:after="0" w:line="268" w:lineRule="auto"/>
        <w:tabs>
          <w:tab w:leader="none" w:pos="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The following individuals were elected to serve as directors for a term expiring at the 2026 Annual Meeting of Shareowners or upon the election and qualification of their successors. The voting results for each of the nominees are as follows:</w:t>
      </w:r>
    </w:p>
    <w:p>
      <w:pPr>
        <w:spacing w:after="0" w:line="55" w:lineRule="exact"/>
        <w:rPr>
          <w:sz w:val="20"/>
          <w:szCs w:val="20"/>
          <w:color w:val="auto"/>
        </w:rPr>
      </w:pPr>
    </w:p>
    <w:tbl>
      <w:tblPr>
        <w:tblLayout w:type="fixed"/>
        <w:tblInd w:w="320" w:type="dxa"/>
        <w:tblCellMar>
          <w:top w:w="0" w:type="dxa"/>
          <w:left w:w="0" w:type="dxa"/>
          <w:bottom w:w="0" w:type="dxa"/>
          <w:right w:w="0" w:type="dxa"/>
        </w:tblCellMar>
      </w:tblPr>
      <w:tr>
        <w:trPr>
          <w:trHeight w:val="24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Nominee</w:t>
            </w:r>
          </w:p>
        </w:tc>
        <w:tc>
          <w:tcPr>
            <w:tcW w:w="26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color w:val="auto"/>
              </w:rPr>
              <w:t>Votes For</w:t>
            </w:r>
          </w:p>
        </w:tc>
        <w:tc>
          <w:tcPr>
            <w:tcW w:w="17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color w:val="auto"/>
              </w:rPr>
              <w:t>Votes Against</w:t>
            </w:r>
          </w:p>
        </w:tc>
        <w:tc>
          <w:tcPr>
            <w:tcW w:w="15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color w:val="auto"/>
              </w:rPr>
              <w:t>Abstentions</w:t>
            </w: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color w:val="auto"/>
              </w:rPr>
              <w:t>Broker Non-Votes</w:t>
            </w: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Tracy A. Atkinson</w:t>
            </w:r>
          </w:p>
        </w:tc>
        <w:tc>
          <w:tcPr>
            <w:tcW w:w="26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1,025,732,129</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13,152,313</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1,649,565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c>
          <w:tcPr>
            <w:tcW w:w="26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1,003,763,910</w:t>
            </w:r>
          </w:p>
        </w:tc>
        <w:tc>
          <w:tcPr>
            <w:tcW w:w="17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35,090,464</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1,679,633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Leanne G. Caret</w:t>
            </w:r>
          </w:p>
        </w:tc>
        <w:tc>
          <w:tcPr>
            <w:tcW w:w="26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1,025,256,809</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12,836,219</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2,440,979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A. Harris, Jr.</w:t>
            </w:r>
          </w:p>
        </w:tc>
        <w:tc>
          <w:tcPr>
            <w:tcW w:w="26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1,032,109,170</w:t>
            </w:r>
          </w:p>
        </w:tc>
        <w:tc>
          <w:tcPr>
            <w:tcW w:w="17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6,674,469</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1,750,368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R. Oliver</w:t>
            </w:r>
          </w:p>
        </w:tc>
        <w:tc>
          <w:tcPr>
            <w:tcW w:w="26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1,033,561,794</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5,206,009</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1,766,204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M. Pawlikowski</w:t>
            </w:r>
          </w:p>
        </w:tc>
        <w:tc>
          <w:tcPr>
            <w:tcW w:w="26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1,033,113,011</w:t>
            </w:r>
          </w:p>
        </w:tc>
        <w:tc>
          <w:tcPr>
            <w:tcW w:w="17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5,765,460</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1,655,536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Denise L. Ramos</w:t>
            </w:r>
          </w:p>
        </w:tc>
        <w:tc>
          <w:tcPr>
            <w:tcW w:w="26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1,022,139,886</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16,149,656</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2,244,465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Fredric G. Reynolds</w:t>
            </w:r>
          </w:p>
        </w:tc>
        <w:tc>
          <w:tcPr>
            <w:tcW w:w="26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1,018,870,564</w:t>
            </w:r>
          </w:p>
        </w:tc>
        <w:tc>
          <w:tcPr>
            <w:tcW w:w="17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19,853,245</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1,810,198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C. Rogers</w:t>
            </w:r>
          </w:p>
        </w:tc>
        <w:tc>
          <w:tcPr>
            <w:tcW w:w="26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1,033,292,275</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5,461,636</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1,780,096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A. Winnefeld, Jr.</w:t>
            </w:r>
          </w:p>
        </w:tc>
        <w:tc>
          <w:tcPr>
            <w:tcW w:w="26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1,022,861,398</w:t>
            </w:r>
          </w:p>
        </w:tc>
        <w:tc>
          <w:tcPr>
            <w:tcW w:w="17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15,896,252</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1,776,357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O. Work</w:t>
            </w:r>
          </w:p>
        </w:tc>
        <w:tc>
          <w:tcPr>
            <w:tcW w:w="26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971,620,268</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67,037,878</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1,875,861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145,426,399</w:t>
            </w:r>
          </w:p>
        </w:tc>
      </w:tr>
    </w:tbl>
    <w:p>
      <w:pPr>
        <w:spacing w:after="0" w:line="166" w:lineRule="exact"/>
        <w:rPr>
          <w:sz w:val="20"/>
          <w:szCs w:val="20"/>
          <w:color w:val="auto"/>
        </w:rPr>
      </w:pPr>
    </w:p>
    <w:p>
      <w:pPr>
        <w:ind w:left="320" w:right="20" w:hanging="315"/>
        <w:spacing w:after="0" w:line="268"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that shareowners approve, on an advisory basis, the compensation of the Company’s named executive officers. The proposal was approved, and the voting results are as follows:</w:t>
      </w:r>
    </w:p>
    <w:p>
      <w:pPr>
        <w:spacing w:after="0" w:line="161"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Votes For</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Votes Against</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Abstentions</w:t>
            </w:r>
          </w:p>
        </w:tc>
        <w:tc>
          <w:tcPr>
            <w:tcW w:w="27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6"/>
                <w:szCs w:val="16"/>
                <w:color w:val="auto"/>
                <w:w w:val="96"/>
              </w:rPr>
              <w:t>Broker Non-Votes</w:t>
            </w:r>
          </w:p>
        </w:tc>
      </w:tr>
      <w:tr>
        <w:trPr>
          <w:trHeight w:val="219"/>
        </w:trPr>
        <w:tc>
          <w:tcPr>
            <w:tcW w:w="262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997,356,012</w:t>
            </w:r>
          </w:p>
        </w:tc>
        <w:tc>
          <w:tcPr>
            <w:tcW w:w="266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39,219,090</w:t>
            </w:r>
          </w:p>
        </w:tc>
        <w:tc>
          <w:tcPr>
            <w:tcW w:w="250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3,958,905</w:t>
            </w:r>
          </w:p>
        </w:tc>
        <w:tc>
          <w:tcPr>
            <w:tcW w:w="27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145,426,399</w:t>
            </w:r>
          </w:p>
        </w:tc>
      </w:tr>
    </w:tbl>
    <w:p>
      <w:pPr>
        <w:spacing w:after="0" w:line="232" w:lineRule="exact"/>
        <w:rPr>
          <w:sz w:val="20"/>
          <w:szCs w:val="20"/>
          <w:color w:val="auto"/>
        </w:rPr>
      </w:pPr>
    </w:p>
    <w:p>
      <w:pPr>
        <w:ind w:left="320" w:right="160" w:hanging="315"/>
        <w:spacing w:after="0" w:line="268"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appoint PricewaterhouseCoopers LLP, a firm of independent registered public accountants, to serve as the Company’s Independent Auditor for 2025 until the next Annual Meeting in 2026. The proposal was approved, and the voting results are as follows: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Votes For</w:t>
            </w: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Votes Against</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Abstentions</w:t>
            </w:r>
          </w:p>
        </w:tc>
      </w:tr>
      <w:tr>
        <w:trPr>
          <w:trHeight w:val="219"/>
        </w:trPr>
        <w:tc>
          <w:tcPr>
            <w:tcW w:w="354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rPr>
              <w:t>1,139,331,887</w:t>
            </w:r>
          </w:p>
        </w:tc>
        <w:tc>
          <w:tcPr>
            <w:tcW w:w="3500" w:type="dxa"/>
            <w:vAlign w:val="bottom"/>
            <w:shd w:val="clear" w:color="auto" w:fill="CCEEFF"/>
          </w:tcPr>
          <w:p>
            <w:pPr>
              <w:jc w:val="right"/>
              <w:ind w:right="1297"/>
              <w:spacing w:after="0"/>
              <w:rPr>
                <w:sz w:val="20"/>
                <w:szCs w:val="20"/>
                <w:color w:val="auto"/>
              </w:rPr>
            </w:pPr>
            <w:r>
              <w:rPr>
                <w:rFonts w:ascii="Times New Roman" w:cs="Times New Roman" w:eastAsia="Times New Roman" w:hAnsi="Times New Roman"/>
                <w:sz w:val="18"/>
                <w:szCs w:val="18"/>
                <w:color w:val="auto"/>
              </w:rPr>
              <w:t>44,419,896</w:t>
            </w:r>
          </w:p>
        </w:tc>
        <w:tc>
          <w:tcPr>
            <w:tcW w:w="348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8"/>
                <w:szCs w:val="18"/>
                <w:color w:val="auto"/>
              </w:rPr>
              <w:t>2,208,623</w:t>
            </w:r>
          </w:p>
        </w:tc>
      </w:tr>
    </w:tbl>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6"/>
          <w:szCs w:val="16"/>
          <w:color w:val="auto"/>
        </w:rPr>
        <w:t>A shareowner proposal requesting a lobbying transparency report. The proposal was not approved, and the voting results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Votes For</w:t>
            </w:r>
          </w:p>
        </w:tc>
        <w:tc>
          <w:tcPr>
            <w:tcW w:w="26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Votes Against</w:t>
            </w:r>
          </w:p>
        </w:tc>
        <w:tc>
          <w:tcPr>
            <w:tcW w:w="2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Abstentions</w:t>
            </w:r>
          </w:p>
        </w:tc>
        <w:tc>
          <w:tcPr>
            <w:tcW w:w="3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6"/>
              </w:rPr>
              <w:t>Broker Non-Votes</w:t>
            </w:r>
          </w:p>
        </w:tc>
      </w:tr>
      <w:tr>
        <w:trPr>
          <w:trHeight w:val="219"/>
        </w:trPr>
        <w:tc>
          <w:tcPr>
            <w:tcW w:w="320" w:type="dxa"/>
            <w:vAlign w:val="bottom"/>
          </w:tcPr>
          <w:p>
            <w:pPr>
              <w:spacing w:after="0"/>
              <w:rPr>
                <w:sz w:val="19"/>
                <w:szCs w:val="19"/>
                <w:color w:val="auto"/>
              </w:rPr>
            </w:pPr>
          </w:p>
        </w:tc>
        <w:tc>
          <w:tcPr>
            <w:tcW w:w="262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135,400,139</w:t>
            </w:r>
          </w:p>
        </w:tc>
        <w:tc>
          <w:tcPr>
            <w:tcW w:w="26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892,947,078</w:t>
            </w:r>
          </w:p>
        </w:tc>
        <w:tc>
          <w:tcPr>
            <w:tcW w:w="25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12,186,790</w:t>
            </w:r>
          </w:p>
        </w:tc>
        <w:tc>
          <w:tcPr>
            <w:tcW w:w="272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145,426,399</w:t>
            </w:r>
          </w:p>
        </w:tc>
        <w:tc>
          <w:tcPr>
            <w:tcW w:w="400" w:type="dxa"/>
            <w:vAlign w:val="bottom"/>
          </w:tcPr>
          <w:p>
            <w:pPr>
              <w:spacing w:after="0"/>
              <w:rPr>
                <w:sz w:val="19"/>
                <w:szCs w:val="19"/>
                <w:color w:val="auto"/>
              </w:rPr>
            </w:pPr>
          </w:p>
        </w:tc>
      </w:tr>
      <w:tr>
        <w:trPr>
          <w:trHeight w:val="1520"/>
        </w:trPr>
        <w:tc>
          <w:tcPr>
            <w:tcW w:w="3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220" w:type="dxa"/>
            <w:vAlign w:val="bottom"/>
          </w:tcPr>
          <w:p>
            <w:pPr>
              <w:spacing w:after="0"/>
              <w:rPr>
                <w:sz w:val="19"/>
                <w:szCs w:val="19"/>
                <w:color w:val="auto"/>
              </w:rPr>
            </w:pPr>
          </w:p>
        </w:tc>
        <w:tc>
          <w:tcPr>
            <w:tcW w:w="79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RTX CORPORATION</w:t>
            </w:r>
          </w:p>
        </w:tc>
      </w:tr>
      <w:tr>
        <w:trPr>
          <w:trHeight w:val="230"/>
        </w:trPr>
        <w:tc>
          <w:tcPr>
            <w:tcW w:w="3220" w:type="dxa"/>
            <w:vAlign w:val="bottom"/>
          </w:tcPr>
          <w:p>
            <w:pPr>
              <w:spacing w:after="0"/>
              <w:rPr>
                <w:sz w:val="20"/>
                <w:szCs w:val="20"/>
                <w:color w:val="auto"/>
              </w:rPr>
            </w:pPr>
          </w:p>
        </w:tc>
        <w:tc>
          <w:tcPr>
            <w:tcW w:w="79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8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79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w w:val="98"/>
              </w:rPr>
              <w:t>By:/s/ Edward G. Perrault</w:t>
            </w:r>
          </w:p>
        </w:tc>
      </w:tr>
      <w:tr>
        <w:trPr>
          <w:trHeight w:val="212"/>
        </w:trPr>
        <w:tc>
          <w:tcPr>
            <w:tcW w:w="3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Edward G. Perrault</w:t>
            </w:r>
          </w:p>
        </w:tc>
      </w:tr>
      <w:tr>
        <w:trPr>
          <w:trHeight w:val="228"/>
        </w:trPr>
        <w:tc>
          <w:tcPr>
            <w:tcW w:w="3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Vice President &amp; Secretary</w:t>
            </w:r>
          </w:p>
        </w:tc>
      </w:tr>
    </w:tbl>
    <w:p>
      <w:pPr>
        <w:spacing w:after="0" w:line="1" w:lineRule="exact"/>
        <w:rPr>
          <w:sz w:val="20"/>
          <w:szCs w:val="20"/>
          <w:color w:val="auto"/>
        </w:rPr>
      </w:pPr>
    </w:p>
    <w:sectPr>
      <w:pgSz w:w="11900" w:h="16838" w:orient="portrait"/>
      <w:cols w:equalWidth="0" w:num="1">
        <w:col w:w="11220"/>
      </w:cols>
      <w:pgMar w:left="320" w:top="12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2025-05-05T16:18:08Z</dcterms:created>
  <dcterms:modified xsi:type="dcterms:W3CDTF">2025-05-05T16:18:08Z</dcterms:modified>
</cp:coreProperties>
</file>