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83"/>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color w:val="000000"/>
              </w:rPr>
              <w:t>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001-00812</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438" w:type="dxa"/>
        <w:jc w:val="left"/>
        <w:tblInd w:w="0" w:type="dxa"/>
        <w:tblLayout w:type="fixed"/>
        <w:tblCellMar>
          <w:top w:w="28" w:type="dxa"/>
          <w:left w:w="28" w:type="dxa"/>
          <w:bottom w:w="28" w:type="dxa"/>
          <w:right w:w="28" w:type="dxa"/>
        </w:tblCellMar>
      </w:tblPr>
      <w:tblGrid>
        <w:gridCol w:w="1699"/>
        <w:gridCol w:w="1489"/>
        <w:gridCol w:w="1506"/>
        <w:gridCol w:w="801"/>
        <w:gridCol w:w="801"/>
        <w:gridCol w:w="1142"/>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1000 Wilson Boulevard, Arlington, Virginia 22209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407" w:type="dxa"/>
        <w:jc w:val="center"/>
        <w:tblInd w:w="0" w:type="dxa"/>
        <w:tblLayout w:type="fixed"/>
        <w:tblCellMar>
          <w:top w:w="28" w:type="dxa"/>
          <w:left w:w="28" w:type="dxa"/>
          <w:bottom w:w="28" w:type="dxa"/>
          <w:right w:w="28" w:type="dxa"/>
        </w:tblCellMar>
      </w:tblPr>
      <w:tblGrid>
        <w:gridCol w:w="954"/>
        <w:gridCol w:w="837"/>
        <w:gridCol w:w="848"/>
        <w:gridCol w:w="484"/>
        <w:gridCol w:w="484"/>
        <w:gridCol w:w="486"/>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18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66"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6840"/>
                <wp:effectExtent l="0" t="0" r="0" b="0"/>
                <wp:wrapNone/>
                <wp:docPr id="1"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180"/>
        <w:jc w:val="both"/>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Common Stock held by non-affiliates at June 30, 2025 was approximately $195,405,729,090, based on the New York Stock Exchange closing price for such shares on that date. For purposes of this calculation, the Registrant has assumed that its directors and executive officers are affiliates.</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1,342,287,676 shares of Common Stock outstanding.</w:t>
      </w:r>
    </w:p>
    <w:p>
      <w:pPr>
        <w:pStyle w:val="TextBody"/>
        <w:bidi w:val="0"/>
        <w:spacing w:lineRule="auto" w:line="288" w:before="60" w:after="283"/>
        <w:ind w:left="0" w:right="0" w:firstLine="18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6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for its 2026 Annual Meeting of Shareowners are incorporated by reference in Part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INDEX</w:t>
      </w:r>
    </w:p>
    <w:tbl>
      <w:tblPr>
        <w:tblW w:w="10205" w:type="dxa"/>
        <w:jc w:val="left"/>
        <w:tblInd w:w="0" w:type="dxa"/>
        <w:tblLayout w:type="fixed"/>
        <w:tblCellMar>
          <w:top w:w="28" w:type="dxa"/>
          <w:left w:w="28" w:type="dxa"/>
          <w:bottom w:w="28" w:type="dxa"/>
          <w:right w:w="28" w:type="dxa"/>
        </w:tblCellMar>
      </w:tblPr>
      <w:tblGrid>
        <w:gridCol w:w="330"/>
        <w:gridCol w:w="291"/>
        <w:gridCol w:w="295"/>
        <w:gridCol w:w="2944"/>
        <w:gridCol w:w="2931"/>
        <w:gridCol w:w="2947"/>
        <w:gridCol w:w="136"/>
        <w:gridCol w:w="136"/>
        <w:gridCol w:w="195"/>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
              <w:r>
                <w:rPr>
                  <w:rStyle w:val="InternetLink"/>
                  <w:rFonts w:ascii="Times New Roman;serif" w:hAnsi="Times New Roman;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
              <w:r>
                <w:rPr>
                  <w:rStyle w:val="InternetLink"/>
                  <w:rFonts w:ascii="Times New Roman;serif" w:hAnsi="Times New Roman;serif"/>
                  <w:b w:val="false"/>
                  <w:color w:val="0000FF"/>
                  <w:sz w:val="20"/>
                  <w:u w:val="single"/>
                </w:rPr>
                <w:t>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9">
              <w:r>
                <w:rPr>
                  <w:rStyle w:val="InternetLink"/>
                  <w:rFonts w:ascii="Times New Roman;serif" w:hAnsi="Times New Roman;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9">
              <w:r>
                <w:rPr>
                  <w:rStyle w:val="InternetLink"/>
                  <w:rFonts w:ascii="Times New Roman;serif" w:hAnsi="Times New Roman;serif"/>
                  <w:b w:val="false"/>
                  <w:color w:val="0000FF"/>
                  <w:sz w:val="20"/>
                  <w:u w:val="single"/>
                </w:rPr>
                <w:t>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
              <w:r>
                <w:rPr>
                  <w:rStyle w:val="InternetLink"/>
                  <w:rFonts w:ascii="Times New Roman;serif" w:hAnsi="Times New Roman;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
              <w:r>
                <w:rPr>
                  <w:rStyle w:val="InternetLink"/>
                  <w:rFonts w:ascii="Times New Roman;serif" w:hAnsi="Times New Roman;serif"/>
                  <w:b w:val="false"/>
                  <w:color w:val="0000FF"/>
                  <w:sz w:val="20"/>
                  <w:u w:val="single"/>
                </w:rPr>
                <w:t>Cybersecurity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8">
              <w:r>
                <w:rPr>
                  <w:rStyle w:val="InternetLink"/>
                  <w:rFonts w:ascii="Times New Roman;serif" w:hAnsi="Times New Roman;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8">
              <w:r>
                <w:rPr>
                  <w:rStyle w:val="InternetLink"/>
                  <w:rFonts w:ascii="Times New Roman;serif" w:hAnsi="Times New Roman;serif"/>
                  <w:b w:val="false"/>
                  <w:color w:val="0000FF"/>
                  <w:sz w:val="20"/>
                  <w:u w:val="single"/>
                </w:rPr>
                <w:t>29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31">
              <w:r>
                <w:rPr>
                  <w:rStyle w:val="InternetLink"/>
                  <w:rFonts w:ascii="Times New Roman;serif" w:hAnsi="Times New Roman;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31">
              <w:r>
                <w:rPr>
                  <w:rStyle w:val="InternetLink"/>
                  <w:rFonts w:ascii="Times New Roman;serif" w:hAnsi="Times New Roman;serif"/>
                  <w:b w:val="false"/>
                  <w:color w:val="0000FF"/>
                  <w:sz w:val="20"/>
                  <w:u w:val="single"/>
                </w:rPr>
                <w:t>30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34">
              <w:r>
                <w:rPr>
                  <w:rStyle w:val="InternetLink"/>
                  <w:rFonts w:ascii="Times New Roman;serif" w:hAnsi="Times New Roman;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34">
              <w:r>
                <w:rPr>
                  <w:rStyle w:val="InternetLink"/>
                  <w:rFonts w:ascii="Times New Roman;serif" w:hAnsi="Times New Roman;serif"/>
                  <w:b w:val="false"/>
                  <w:color w:val="0000FF"/>
                  <w:sz w:val="20"/>
                  <w:u w:val="single"/>
                </w:rPr>
                <w:t>30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0">
              <w:r>
                <w:rPr>
                  <w:rStyle w:val="InternetLink"/>
                  <w:rFonts w:ascii="Times New Roman;serif" w:hAnsi="Times New Roman;serif"/>
                  <w:b w:val="false"/>
                  <w:color w:val="0000FF"/>
                  <w:sz w:val="20"/>
                  <w:u w:val="single"/>
                </w:rPr>
                <w:t>31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3">
              <w:r>
                <w:rPr>
                  <w:rStyle w:val="InternetLink"/>
                  <w:rFonts w:ascii="Times New Roman;serif" w:hAnsi="Times New Roman;serif"/>
                  <w:b w:val="false"/>
                  <w:color w:val="0000FF"/>
                  <w:sz w:val="20"/>
                  <w:u w:val="single"/>
                </w:rPr>
                <w:t>Reserved</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3">
              <w:r>
                <w:rPr>
                  <w:rStyle w:val="InternetLink"/>
                  <w:rFonts w:ascii="Times New Roman;serif" w:hAnsi="Times New Roman;serif"/>
                  <w:b w:val="false"/>
                  <w:color w:val="0000FF"/>
                  <w:sz w:val="20"/>
                  <w:u w:val="single"/>
                </w:rPr>
                <w:t>32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46">
              <w:r>
                <w:rPr>
                  <w:rStyle w:val="InternetLink"/>
                  <w:rFonts w:ascii="Times New Roman;serif" w:hAnsi="Times New Roman;serif"/>
                  <w:b w:val="false"/>
                  <w:color w:val="0000FF"/>
                  <w:sz w:val="20"/>
                  <w:u w:val="single"/>
                </w:rPr>
                <w:t>33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3">
              <w:r>
                <w:rPr>
                  <w:rStyle w:val="InternetLink"/>
                  <w:rFonts w:ascii="Times New Roman;serif" w:hAnsi="Times New Roman;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3">
              <w:r>
                <w:rPr>
                  <w:rStyle w:val="InternetLink"/>
                  <w:rFonts w:ascii="Times New Roman;serif" w:hAnsi="Times New Roman;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6">
              <w:r>
                <w:rPr>
                  <w:rStyle w:val="InternetLink"/>
                  <w:rFonts w:ascii="Times New Roman;serif" w:hAnsi="Times New Roman;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136">
              <w:r>
                <w:rPr>
                  <w:rStyle w:val="InternetLink"/>
                  <w:rFonts w:ascii="Times New Roman;serif" w:hAnsi="Times New Roman;serif"/>
                  <w:b w:val="false"/>
                  <w:color w:val="0000FF"/>
                  <w:sz w:val="20"/>
                  <w:u w:val="single"/>
                </w:rPr>
                <w:t>61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3">
              <w:r>
                <w:rPr>
                  <w:rStyle w:val="InternetLink"/>
                  <w:rFonts w:ascii="Times New Roman;serif" w:hAnsi="Times New Roman;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6">
              <w:r>
                <w:rPr>
                  <w:rStyle w:val="InternetLink"/>
                  <w:rFonts w:ascii="Times New Roman;serif" w:hAnsi="Times New Roman;serif"/>
                  <w:b w:val="false"/>
                  <w:color w:val="0000FF"/>
                  <w:sz w:val="20"/>
                  <w:u w:val="single"/>
                </w:rPr>
                <w:t>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6">
              <w:r>
                <w:rPr>
                  <w:rStyle w:val="InternetLink"/>
                  <w:rFonts w:ascii="Times New Roman;serif" w:hAnsi="Times New Roman;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9">
              <w:r>
                <w:rPr>
                  <w:rStyle w:val="InternetLink"/>
                  <w:rFonts w:ascii="Times New Roman;serif" w:hAnsi="Times New Roman;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29">
              <w:r>
                <w:rPr>
                  <w:rStyle w:val="InternetLink"/>
                  <w:rFonts w:ascii="Times New Roman;serif" w:hAnsi="Times New Roman;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32">
              <w:r>
                <w:rPr>
                  <w:rStyle w:val="InternetLink"/>
                  <w:rFonts w:ascii="Times New Roman;serif" w:hAnsi="Times New Roman;serif"/>
                  <w:b w:val="false"/>
                  <w:color w:val="0000FF"/>
                  <w:sz w:val="20"/>
                  <w:u w:val="single"/>
                </w:rPr>
                <w:t>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32">
              <w:r>
                <w:rPr>
                  <w:rStyle w:val="InternetLink"/>
                  <w:rFonts w:ascii="Times New Roman;serif" w:hAnsi="Times New Roman;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38">
              <w:r>
                <w:rPr>
                  <w:rStyle w:val="InternetLink"/>
                  <w:rFonts w:ascii="Times New Roman;serif" w:hAnsi="Times New Roman;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38">
              <w:r>
                <w:rPr>
                  <w:rStyle w:val="InternetLink"/>
                  <w:rFonts w:ascii="Times New Roman;serif" w:hAnsi="Times New Roman;serif"/>
                  <w:b w:val="false"/>
                  <w:color w:val="0000FF"/>
                  <w:sz w:val="20"/>
                  <w:u w:val="singl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1">
              <w:r>
                <w:rPr>
                  <w:rStyle w:val="InternetLink"/>
                  <w:rFonts w:ascii="Times New Roman;serif" w:hAnsi="Times New Roman;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1">
              <w:r>
                <w:rPr>
                  <w:rStyle w:val="InternetLink"/>
                  <w:rFonts w:ascii="Times New Roman;serif" w:hAnsi="Times New Roman;serif"/>
                  <w:b w:val="false"/>
                  <w:color w:val="0000FF"/>
                  <w:sz w:val="20"/>
                  <w:u w:val="single"/>
                </w:rPr>
                <w:t>114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4">
              <w:r>
                <w:rPr>
                  <w:rStyle w:val="InternetLink"/>
                  <w:rFonts w:ascii="Times New Roman;serif" w:hAnsi="Times New Roman;serif"/>
                  <w:b w:val="false"/>
                  <w:color w:val="0000FF"/>
                  <w:sz w:val="20"/>
                  <w:u w:val="single"/>
                </w:rPr>
                <w:t>114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7">
              <w:r>
                <w:rPr>
                  <w:rStyle w:val="InternetLink"/>
                  <w:rFonts w:ascii="Times New Roman;serif" w:hAnsi="Times New Roman;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47">
              <w:r>
                <w:rPr>
                  <w:rStyle w:val="InternetLink"/>
                  <w:rFonts w:ascii="Times New Roman;serif" w:hAnsi="Times New Roman;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0">
              <w:r>
                <w:rPr>
                  <w:rStyle w:val="InternetLink"/>
                  <w:rFonts w:ascii="Times New Roman;serif" w:hAnsi="Times New Roman;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0">
              <w:r>
                <w:rPr>
                  <w:rStyle w:val="InternetLink"/>
                  <w:rFonts w:ascii="Times New Roman;serif" w:hAnsi="Times New Roman;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6">
              <w:r>
                <w:rPr>
                  <w:rStyle w:val="InternetLink"/>
                  <w:rFonts w:ascii="Times New Roman;serif" w:hAnsi="Times New Roman;serif"/>
                  <w:b w:val="false"/>
                  <w:color w:val="0000FF"/>
                  <w:sz w:val="20"/>
                  <w:u w:val="single"/>
                </w:rPr>
                <w:t>Exhibits,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6">
              <w:r>
                <w:rPr>
                  <w:rStyle w:val="InternetLink"/>
                  <w:rFonts w:ascii="Times New Roman;serif" w:hAnsi="Times New Roman;serif"/>
                  <w:b w:val="false"/>
                  <w:color w:val="0000FF"/>
                  <w:sz w:val="20"/>
                  <w:u w:val="single"/>
                </w:rPr>
                <w:t>116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9">
              <w:r>
                <w:rPr>
                  <w:rStyle w:val="InternetLink"/>
                  <w:rFonts w:ascii="Times New Roman;serif" w:hAnsi="Times New Roman;serif"/>
                  <w:b w:val="false"/>
                  <w:color w:val="0000FF"/>
                  <w:sz w:val="20"/>
                  <w:u w:val="single"/>
                </w:rPr>
                <w:t>Form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59">
              <w:r>
                <w:rPr>
                  <w:rStyle w:val="InternetLink"/>
                  <w:rFonts w:ascii="Times New Roman;serif" w:hAnsi="Times New Roman;serif"/>
                  <w:b w:val="false"/>
                  <w:color w:val="0000FF"/>
                  <w:sz w:val="20"/>
                  <w:u w:val="single"/>
                </w:rPr>
                <w:t>122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62">
              <w:r>
                <w:rPr>
                  <w:rStyle w:val="InternetLink"/>
                  <w:rFonts w:ascii="Times New Roman;serif" w:hAnsi="Times New Roman;serif"/>
                  <w:b w:val="false"/>
                  <w:color w:val="0000FF"/>
                  <w:sz w:val="20"/>
                  <w:u w:val="single"/>
                </w:rPr>
                <w:t>SIGNATURES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8617ed510543f5986a36f83c767f0b_262">
              <w:r>
                <w:rPr>
                  <w:rStyle w:val="InternetLink"/>
                  <w:rFonts w:ascii="Times New Roman;serif" w:hAnsi="Times New Roman;serif"/>
                  <w:b w:val="false"/>
                  <w:color w:val="0000FF"/>
                  <w:sz w:val="20"/>
                  <w:u w:val="single"/>
                </w:rPr>
                <w:t>123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10-K are provided for convenience only. Information available through these web sites is not incorporated by reference into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RTX Corporation is an aerospace and defense company that provides advanced systems and services for commercial, military, and government customers worldwide. The terms “we,” “us,” “our,” the “Company”, and “RTX” mean RTX Corporation and its subsidiaries, unless the context indicates another meaning. We serve commercial and government customers in both the original equipment and aftermarket parts and services segments of the aerospace industry. Our defense business serves both domestic and international customers as a prime contractor or subcontractor on a broad portfolio of defense and related programs for military and government customers. RTX Corporation was incorporated in Delaware in 1934.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our business should be read in conjunction with “Management’s Discussion and Analysis of Financial Condition and Results of Operations” within Item 7 of this Form 10-K, including the information contained therein under the heading “Business Overview.”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Business Segments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classified into three principal business segments: Collins Aerospace (Collins), Pratt &amp; Whitney, and Raytheon, with each segment comprised of groups of similar operations.</w:t>
      </w:r>
    </w:p>
    <w:p>
      <w:pPr>
        <w:pStyle w:val="TextBody"/>
        <w:bidi w:val="0"/>
        <w:spacing w:lineRule="auto" w:line="288" w:before="120" w:after="283"/>
        <w:jc w:val="both"/>
        <w:rPr/>
      </w:pPr>
      <w:r>
        <w:rPr>
          <w:rFonts w:ascii="Times New Roman;serif" w:hAnsi="Times New Roman;serif"/>
          <w:b/>
          <w:color w:val="000000"/>
          <w:sz w:val="20"/>
        </w:rPr>
        <w:t>Collins Aerospace</w:t>
      </w:r>
      <w:r>
        <w:rPr>
          <w:color w:val="000000"/>
        </w:rPr>
        <w:t xml:space="preserve"> </w:t>
      </w:r>
      <w:r>
        <w:rPr>
          <w:rFonts w:ascii="Times New Roman;serif" w:hAnsi="Times New Roman;serif"/>
          <w:b w:val="false"/>
          <w:color w:val="000000"/>
          <w:sz w:val="20"/>
        </w:rPr>
        <w:t xml:space="preserve">is a leading global provider of technologically advanced aerospace and defense products. Collins’ solutions include aftermarket services 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 customer missions by providing systems solutions for connected battlespace, test and training range systems, crew escape systems, and simulation and training.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sells aerospace and defense products and services to aircraft manufacturers, airlines, airports and other aircraft operators, the U.S. and foreign governments, defense contractors, maintenance, repair, and overhaul providers, and independent distributors around the world. Collins’ largest commercial customers are Boeing and Airbus with combined sales, prior to discounts and incentives, of 16%, 16%, and 19% of total Collins segment sales in 2025, 2024, and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Collins was awarded a contract to deliver satellite communication systems to support survivable communications across multiple frequency bands. Collins was also awarded a contract by the Federal Aviation Administration (FAA) to support the Radar System Replacement program as part of the Department of Transportation’s Brand New Air Traffic Control System. Collins was selected to be the primary subcontractor for the U.S. Navy’s solution for engineering design and manufacturing of the Very Low Frequency communication subsystem, as well as mission command, control, and communications infrastructure, Advanced Extremely High Frequency and voice communications. In addition, Collins was awarded a follow-on contract from the FAA to continue support of the Standard Terminal Automation Replacement System (STARS) which is used to manage aircraft spacing and sequencing on approach. Collins secured over $4 billion in combined long-term agreements to provide new maintenance, repair and overhaul services, and long-term contracts to provide spare parts, for several airlines. Finally, Collins was selected by the European Union’s Clean Aviation Joint Undertaking (Clean Aviation) to collaborate with Pratt &amp; Whitney Canada as well as other consortium members on multiple development projects aimed at increasing fuel efficiency for next-generation regional aircraft, most notably the Powerplant Hybrid Applications Regional Segment (PHARES) project. As part of the PHARES project, Pratt &amp; Whitney Canada will lead the development of a hybrid-electric PW127XT-derivative engine, incorporating a Collins 250kW motor and integrated power controller. Collins will also develop an advanced propeller system for improved fuel efficiency and reduced noise for such engine as part of PHARES.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continues to invest in sustainable technologies, such as electrical power architectures, advanced composite materials, digital trajectory optimizers, highly efficient cooling systems, and numerous other technologies that provide lower weight, improved drag, and carbon footprint solutions on aircraft. Collins is also investing in higher efficiency build processes, that reduce chemical and power usage and increase the use of recycling. Collins’ thermoplastic and carbon structural technologies support optimization of the design of aircraft components and equipment to minimize weight, maximize energy efficiency, reduce fuel burn, and extend brake life. Collins works closely with numerous other industry organizations and airframers to explore alternative energy solutions such as sustainable aviation fuel, hydrogen, and hybrid electric power sources. Collins also continues to invest in operational capacity in strategic locations in the United States (including Puerto Rico), India, Mexico, Singapore, and the Philippines.</w:t>
      </w:r>
    </w:p>
    <w:p>
      <w:pPr>
        <w:pStyle w:val="TextBody"/>
        <w:bidi w:val="0"/>
        <w:spacing w:lineRule="auto" w:line="288" w:before="120" w:after="283"/>
        <w:jc w:val="both"/>
        <w:rPr/>
      </w:pPr>
      <w:r>
        <w:rPr>
          <w:rFonts w:ascii="Times New Roman;serif" w:hAnsi="Times New Roman;serif"/>
          <w:b/>
          <w:color w:val="000000"/>
          <w:sz w:val="20"/>
        </w:rPr>
        <w:t xml:space="preserve">Pratt &amp; Whitney </w:t>
      </w:r>
      <w:r>
        <w:rPr>
          <w:rFonts w:ascii="Times New Roman;serif" w:hAnsi="Times New Roman;serif"/>
          <w:b w:val="false"/>
          <w:color w:val="000000"/>
          <w:sz w:val="20"/>
        </w:rPr>
        <w:t xml:space="preserve">is among the world’s leading suppliers of aircraft engines for commercial, military, business jet, and general aviation customers. Pratt &amp; Whitney designs, manufactures, and services large engines for widebody, narrowbody, and large regional aircraft for commercial customers and for fighter, bomber, tanker, and transport aircraft for military customers. Pratt &amp; Whitney also designs, manufactures, and services small engines powering regional airlines, general and business aviation, and helicopters. Pratt &amp; Whitney produces, sells, and services military and commercial auxiliary power units. Pratt &amp; Whitney provides fleet management services and aftermarket maintenance, repair, and overhaul services in all of these product segments.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sells products and services principally to aircraft manufacturers, airlines and other aircraft operators, aircraft leasing companies, and the U.S. and foreign governments. Pratt &amp; Whitney’s largest commercial customer by sales is Airbus, with sales, prior to discounts and incentives, of 29%, 31%, and 48% of total Pratt &amp; Whitney segment sales in 2025, 2024, and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produces and services the PW1000G Geared Turbofan (GTF) engine family. GTF engine models have demonstrated a significant reduction in fuel burn and noise levels and lower environmental emissions compared to prior-generation engines. The GTF aftermarket network expanded to 21 facilities worldwide, increasing PW1100G-JM shop visit output by approximately 26% year over year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GTF family now powers more than 2,600 aircraft for over 90 operators across three aircraft platforms: Airbus A320neo family, Airbus A220, and Embraer E-Jets E2. In 2025, the GTF Advantage engine received FAA and European Union Safety Agency (EASA) certification for the Airbus A320 neo family and is expected to extend the benefits of the current GTF engine, increasing takeoff thrust by 4 to 8 percent and reducing fuel consumption by up to an additional 1 percent, maintaining the engine’s lead as the most efficient powerplant for the A320neo family.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produces and sustains the F135 engine for the U.S. government’s F-35 Joint Program Office to exclusively power the single-engine F-35 Lightning II fifth generation aircraft (commonly known as the Joint Strike Fighter) produced by Lockheed Martin. F135 propulsion system configurations are used for the U.S. Air Force’s F-35A, the U.S. Marine Corps’ F-35B, and the U.S. Navy’s F-35C jets. F135 engines are also used on all F-35 aircraft purchased by Joint Strike Fighter partner countries and other countries through foreign military sales arrangements. In 2025, Pratt &amp; Whitney’s F135 engine surpassed one million engine flight hours, and the company was awarded a $2.8 billion undefinitized contract action (UCA) for production of Lot 18 and Lot 19 long lead funding for the F135 engines to power all three variants of the F-35 Lightning II aircraft. Additionally, Pratt &amp; Whitney continued design maturation and aircraft integration efforts for the F135 Engine Core Upgrade (ECU).</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activity continued on Pratt &amp; Whitney’s military engine development programs, including the Next Generation Adaptive Propulsion (NGAP) program. In early 2025, Pratt &amp; Whitney completed the Detailed Design Review of its XA103 engine for the U.S. Air Force’s NGAP, allowing it to begin procurement of hardware for the construction of the prototype ground demonstrator. Most recently, Pratt &amp; Whitney announced accelerated XA103 engine development through the use of digital data packages, and continued progress toward the next major program milestone. Meanwhile, the B-21 Raider, which is powered by Pratt &amp; Whitney engines, continued to progress its flight test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Pratt &amp; Whitney Canada was selected by the European Union's Clean Aviation to lead the PHARES project, marking the first time a Canadian company will participate in and lead a Clean Aviation program. As part of the PHARES consortium, Pratt &amp; Whitney Canada will collaborate with Collins, ATR, Airbus, and technology research organizations to design and integrate a hybrid-electric propulsion demonstrator, targeting up to 20% improved fuel efficiency on regional aircraft missions. Finally, in 2025, Pratt &amp; Whitney Canada’s PT6 E-Series™ engine family surpassed 500,000 engine flight hours since entering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development of new engines and improvements to current production engines present important growth opportunities for Pratt &amp; Whitney. In view of the risks and costs associated with developing new engines, Pratt &amp; Whitney has entered into collaboration arrangements in which revenues, costs, and risks are shared with third parties. At December 31, 2025, the interests of third-party collaboration participants in Pratt &amp; Whitney-directed jet engine programs ranged, in the aggregate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program, from 13% to 49%. See “Note 1: Basis of Presentation and Summary of Accounting Principles” within Item 8 of this Form 10-K for a description of our accounting for collaboration arrangements. Pratt &amp; Whitney also continues to enhance its programs through performance improvement measures and product base expansion, utilizing similar collaboration arrangements.</w:t>
      </w:r>
    </w:p>
    <w:p>
      <w:pPr>
        <w:pStyle w:val="TextBody"/>
        <w:bidi w:val="0"/>
        <w:spacing w:lineRule="auto" w:line="288" w:before="120" w:after="283"/>
        <w:jc w:val="both"/>
        <w:rPr/>
      </w:pPr>
      <w:r>
        <w:rPr>
          <w:rFonts w:ascii="Times New Roman;serif" w:hAnsi="Times New Roman;serif"/>
          <w:b/>
          <w:color w:val="000000"/>
          <w:sz w:val="20"/>
        </w:rPr>
        <w:t>Raytheon</w:t>
      </w:r>
      <w:r>
        <w:rPr>
          <w:color w:val="000000"/>
        </w:rPr>
        <w:t xml:space="preserve"> </w:t>
      </w:r>
      <w:r>
        <w:rPr>
          <w:rFonts w:ascii="Times New Roman;serif" w:hAnsi="Times New Roman;serif"/>
          <w:b w:val="false"/>
          <w:color w:val="000000"/>
          <w:sz w:val="20"/>
        </w:rPr>
        <w:t>is a leading provider of defensive and offensive threat detection, tracking and mitigation capabilities for U.S. and foreign government and 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 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Raytheon serves as a prime contractor or major subcontractor on numerous programs with the U.S. Department of War (DoW) (formerly referred to as the U.S. Department of Defense), including the U.S. Navy, U.S. Army, Missile Defense Agency, U.S. Air Force, and U.S. Space Force, as well as programs with U.S. federal civil customers, and other international and classified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Raytheon achieved key advancements in, or received contract awards for, the following programs: Patriot, LTAMDS, SM-3, AIM-9X, AMRAAM, Tomahawk, and certain advanced technologies, including classified programs and advanced development programs. Major new contracts awarded in 2025 include contracts to provide AMRAAM missiles to the U.S. Navy, U.S. Air Force and international customers; Guidance Enhanced Missiles (GEM-T) for the North Atlantic Treaty Organization (NATO) Support and Procurement Agency (NSPA) and an international customer; low-rate initial production of LTAMDS for the U.S. Army and Poland; Iron Dome Tamir production for an international customer; AIM-9X Sidewinder short-range air-to-air missiles for the U.S. Navy, U.S. Air Force, and international customers; SM-3 exoatmospheric missile defense interceptors to the Missile Defense Agency; AN/SPY-6 radars for the U.S. Navy; NASAMS to an international customer; Stinger missiles to the U.S. Army and an international customer; Next Generation Jammer Mid-Band (NGJ-MB) for the U.S. Navy and the Royal Australian Air Force; and Javelin guided munition for the U.S. Army and international customers. In 2025, Raytheon also continued to experience increased global demand for the combat-proven Coyote system, a low-cost, expendable, unmanned aircraft system with the capability of operating in autonomous swarms.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Sales and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substantial U.S. government sales, which we conduct through all three of our business segments. In addition, as a global company, all three of our business segments have substantial international sales. See “Note 20: Segment Financial Data” within Item 8 of this Form 10-K for additional information.</w:t>
      </w:r>
    </w:p>
    <w:p>
      <w:pPr>
        <w:pStyle w:val="TextBody"/>
        <w:bidi w:val="0"/>
        <w:spacing w:lineRule="auto" w:line="288" w:before="120" w:after="283"/>
        <w:jc w:val="left"/>
        <w:rPr/>
      </w:pPr>
      <w:r>
        <w:rPr>
          <w:rFonts w:ascii="Times New Roman;serif" w:hAnsi="Times New Roman;serif"/>
          <w:b/>
          <w:color w:val="000000"/>
          <w:sz w:val="20"/>
        </w:rPr>
        <w:t xml:space="preserve">U.S. Government Sales. </w:t>
      </w:r>
      <w:r>
        <w:rPr>
          <w:rFonts w:ascii="Times New Roman;serif" w:hAnsi="Times New Roman;serif"/>
          <w:b w:val="false"/>
          <w:color w:val="000000"/>
          <w:sz w:val="20"/>
        </w:rPr>
        <w:t>Our U.S. government sales were as follows:</w:t>
      </w:r>
    </w:p>
    <w:tbl>
      <w:tblPr>
        <w:tblW w:w="10169" w:type="dxa"/>
        <w:jc w:val="left"/>
        <w:tblInd w:w="0" w:type="dxa"/>
        <w:tblLayout w:type="fixed"/>
        <w:tblCellMar>
          <w:top w:w="28" w:type="dxa"/>
          <w:left w:w="28" w:type="dxa"/>
          <w:bottom w:w="28" w:type="dxa"/>
          <w:right w:w="28" w:type="dxa"/>
        </w:tblCellMar>
      </w:tblPr>
      <w:tblGrid>
        <w:gridCol w:w="1991"/>
        <w:gridCol w:w="1745"/>
        <w:gridCol w:w="1753"/>
        <w:gridCol w:w="109"/>
        <w:gridCol w:w="109"/>
        <w:gridCol w:w="109"/>
        <w:gridCol w:w="211"/>
        <w:gridCol w:w="736"/>
        <w:gridCol w:w="301"/>
        <w:gridCol w:w="109"/>
        <w:gridCol w:w="109"/>
        <w:gridCol w:w="109"/>
        <w:gridCol w:w="211"/>
        <w:gridCol w:w="721"/>
        <w:gridCol w:w="271"/>
        <w:gridCol w:w="109"/>
        <w:gridCol w:w="109"/>
        <w:gridCol w:w="109"/>
        <w:gridCol w:w="211"/>
        <w:gridCol w:w="721"/>
        <w:gridCol w:w="316"/>
      </w:tblGrid>
      <w:tr>
        <w:trPr/>
        <w:tc>
          <w:tcPr>
            <w:tcW w:w="1991"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33,279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as a percentage of total net sales </w:t>
            </w:r>
            <w:r>
              <w:rPr>
                <w:rFonts w:ascii="Times New Roman;serif" w:hAnsi="Times New Roman;serif"/>
                <w:b w:val="false"/>
                <w:color w:val="000000"/>
                <w:sz w:val="13"/>
              </w:rPr>
              <w:t>(1) (2)</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3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2023 total net sales includes the reduction in sales from the Powder Metal Matter.</w:t>
      </w:r>
    </w:p>
    <w:p>
      <w:pPr>
        <w:pStyle w:val="TextBody"/>
        <w:bidi w:val="0"/>
        <w:spacing w:lineRule="auto" w:line="288" w:before="120" w:after="283"/>
        <w:jc w:val="both"/>
        <w:rPr/>
      </w:pPr>
      <w:r>
        <w:rPr>
          <w:rFonts w:ascii="Times New Roman;serif" w:hAnsi="Times New Roman;serif"/>
          <w:b/>
          <w:color w:val="000000"/>
          <w:sz w:val="20"/>
        </w:rPr>
        <w:t xml:space="preserve">International Sales. </w:t>
      </w:r>
      <w:r>
        <w:rPr>
          <w:rFonts w:ascii="Times New Roman;serif" w:hAnsi="Times New Roman;serif"/>
          <w:b w:val="false"/>
          <w:color w:val="000000"/>
          <w:sz w:val="20"/>
        </w:rPr>
        <w:t>Our sales to international customers were as follows:</w:t>
      </w:r>
    </w:p>
    <w:tbl>
      <w:tblPr>
        <w:tblW w:w="9614" w:type="dxa"/>
        <w:jc w:val="left"/>
        <w:tblInd w:w="0" w:type="dxa"/>
        <w:tblLayout w:type="fixed"/>
        <w:tblCellMar>
          <w:top w:w="28" w:type="dxa"/>
          <w:left w:w="28" w:type="dxa"/>
          <w:bottom w:w="28" w:type="dxa"/>
          <w:right w:w="28" w:type="dxa"/>
        </w:tblCellMar>
      </w:tblPr>
      <w:tblGrid>
        <w:gridCol w:w="1789"/>
        <w:gridCol w:w="1569"/>
        <w:gridCol w:w="1576"/>
        <w:gridCol w:w="109"/>
        <w:gridCol w:w="109"/>
        <w:gridCol w:w="109"/>
        <w:gridCol w:w="211"/>
        <w:gridCol w:w="736"/>
        <w:gridCol w:w="301"/>
        <w:gridCol w:w="109"/>
        <w:gridCol w:w="109"/>
        <w:gridCol w:w="109"/>
        <w:gridCol w:w="211"/>
        <w:gridCol w:w="721"/>
        <w:gridCol w:w="271"/>
        <w:gridCol w:w="109"/>
        <w:gridCol w:w="109"/>
        <w:gridCol w:w="109"/>
        <w:gridCol w:w="211"/>
        <w:gridCol w:w="721"/>
        <w:gridCol w:w="316"/>
      </w:tblGrid>
      <w:tr>
        <w:trPr/>
        <w:tc>
          <w:tcPr>
            <w:tcW w:w="178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41,312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international sales as a percentage of total net sales </w:t>
            </w:r>
            <w:r>
              <w:rPr>
                <w:rFonts w:ascii="Times New Roman;serif" w:hAnsi="Times New Roman;serif"/>
                <w:b w:val="false"/>
                <w:color w:val="000000"/>
                <w:sz w:val="13"/>
              </w:rPr>
              <w:t>(1)</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2023 total net sales includes the reduction in sales from the Powder Metal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Backlog. </w:t>
      </w:r>
      <w:r>
        <w:rPr>
          <w:rFonts w:ascii="Times New Roman;serif" w:hAnsi="Times New Roman;serif"/>
          <w:b w:val="false"/>
          <w:color w:val="000000"/>
          <w:sz w:val="20"/>
        </w:rPr>
        <w:t>Backlog, which is equivalent to our remaining performance obligations (RPO) for our sales contracts, represents the aggregate dollar value of firm orders for which products have not been provided or service has not been performed and excludes unexercised contract options and potential orders under ordering-type contracts (e.g., indefinite-delivery, indefinite-quantity (IDIQ) type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backlog was $268 billion and $218 billion as of December 31, 2025 and 2024, respectively. Of the total RPO as of December 31, 2025, we expect approximately 25% will be recognized as revenue over the next 12 months.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our businesses are subject to significant competition. Our businesses compete on a variety of factors such as price, delivery schedule, past performance, reliability, customer service, innovation, and technology. Many of our competitors have substantial financial resources and significant technological capabilities. Further, some non-U.S. competitors receive government research and development assistance, marketing subsidies, and other assistance for their products beyond the assistance that may be available to us as a U.S.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aerospace businesses compete with numerous U.S. and foreign businesses that obtain regulatory agency approval to manufacture products and spare parts. Customer selections of aircraft engines, components, and systems can also have a significant impact on future sales of parts and services. In addition, customers (including the U.S. government and other governments) may purchase parts from suppliers other than the original equipment manufacturer, which affects spare parts sales. Some competitors may offer substantial discounts and other financial incentives, performance and operating cost guarantees, and participation in financing arrangements in an effort to compete for the aftermarket associated with these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businesses compete with numerous U.S. and foreign companies in most defense and government electronics, space, effectors, communications, command and control, technical services and support, and other segments. We frequently partner on defense programs with our major suppliers, some of whom are, from time to time, competitors on other programs. In addition, the competitive landscape in the defense industry continues to evolve with trends such as the continued increase in commercial competitors, new entrants with different technology approaches and business models, governmental bid evaluation processes requesting expanded intellectual property disclosures and rights sharing that may risk the loss of competitively sensitive information, and increased government, particularly foreign government, sponsorship of competitors on defense development programs. Moreover, our potential international contract awards, particularly for sales of defense products and services, may be limited by our ability to agree to offset obligations or industrial cooperation obligations, sometimes in the form of in-country industrial participation (ICIP) agreements, designed to enhance local industry.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People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global technology and innovation-driven company, we depend on a highly skilled workforce. Attracting, developing, advancing, and retaining the best talent while promoting trust, accountability and shared purpose, is critical for us to execute our strategy and grow our business. Individuals with technical, engineering, and science backgrounds, experience, or interests are particularly important for us to succeed in the industries in which we compete. In addition, our defense business in particular requires qualified personnel with security clearances due to our classified programs. Macroeconomic, industry, and labor market conditions continue to affect the environment for hiring and retaining employees with relevant qualifications and experience. While competition for talent has softened, we continue to experience challenges hiring highly qualified personnel for some of our most critical roles and in specific locations. We continuously monitor labor market conditions and trends to mitigate hiring and retention issues.</w:t>
      </w:r>
    </w:p>
    <w:p>
      <w:pPr>
        <w:pStyle w:val="TextBody"/>
        <w:bidi w:val="0"/>
        <w:spacing w:lineRule="auto" w:line="288" w:before="120" w:after="283"/>
        <w:jc w:val="both"/>
        <w:rPr/>
      </w:pPr>
      <w:r>
        <w:rPr>
          <w:rFonts w:ascii="Times New Roman;serif" w:hAnsi="Times New Roman;serif"/>
          <w:b/>
          <w:color w:val="000000"/>
          <w:sz w:val="20"/>
        </w:rPr>
        <w:t xml:space="preserve">Governance. </w:t>
      </w:r>
      <w:r>
        <w:rPr>
          <w:rFonts w:ascii="Times New Roman;serif" w:hAnsi="Times New Roman;serif"/>
          <w:b w:val="false"/>
          <w:color w:val="000000"/>
          <w:sz w:val="20"/>
        </w:rPr>
        <w:t xml:space="preserve">The Human Capital &amp; Compensation Committee of the RTX Board of Directors oversees the Company’s human capital management. </w:t>
      </w:r>
    </w:p>
    <w:p>
      <w:pPr>
        <w:pStyle w:val="TextBody"/>
        <w:bidi w:val="0"/>
        <w:spacing w:lineRule="auto" w:line="288" w:before="120" w:after="283"/>
        <w:jc w:val="both"/>
        <w:rPr/>
      </w:pPr>
      <w:r>
        <w:rPr>
          <w:rFonts w:ascii="Times New Roman;serif" w:hAnsi="Times New Roman;serif"/>
          <w:b/>
          <w:color w:val="000000"/>
          <w:sz w:val="20"/>
        </w:rPr>
        <w:t xml:space="preserve">Workforce Demographics. </w:t>
      </w:r>
      <w:r>
        <w:rPr>
          <w:rFonts w:ascii="Times New Roman;serif" w:hAnsi="Times New Roman;serif"/>
          <w:b w:val="false"/>
          <w:color w:val="000000"/>
          <w:sz w:val="20"/>
        </w:rPr>
        <w:t xml:space="preserve">As of December 31, 2025, our global employee population consisted of a total of approximately 180,000 employees, including approximately 54,000 engineering professionals and approximately 32,000 employees represented by labor unions and other employee representative bodies. Our employees were located in 52 countries, with 69% of our employees located in the U.S. </w:t>
      </w:r>
    </w:p>
    <w:p>
      <w:pPr>
        <w:pStyle w:val="TextBody"/>
        <w:bidi w:val="0"/>
        <w:spacing w:lineRule="auto" w:line="288" w:before="120" w:after="283"/>
        <w:jc w:val="both"/>
        <w:rPr/>
      </w:pPr>
      <w:r>
        <w:rPr>
          <w:rFonts w:ascii="Times New Roman;serif" w:hAnsi="Times New Roman;serif"/>
          <w:b/>
          <w:color w:val="000000"/>
          <w:sz w:val="20"/>
        </w:rPr>
        <w:t>Talent Acquisition, Development, and Retention; Employee Health and Safety.</w:t>
      </w:r>
      <w:r>
        <w:rPr>
          <w:color w:val="000000"/>
        </w:rPr>
        <w:t xml:space="preserve"> </w:t>
      </w:r>
      <w:r>
        <w:rPr>
          <w:rFonts w:ascii="Times New Roman;serif" w:hAnsi="Times New Roman;serif"/>
          <w:b w:val="false"/>
          <w:color w:val="000000"/>
          <w:sz w:val="20"/>
        </w:rPr>
        <w:t xml:space="preserve">We continuously monitor the hiring, retention, and management of our employees by business and function with a focus to attract, develop, engage, advance, and retain the best talent in the industry. We aim to identify and hire quality external talent with skills matched to our Company’s business needs. We invest in our workforce through internal and external education, training and development programs, and tuition assistance benefits. We also provide competitive compensation and benefits. We recognize and reward performance during our annual review process. We regularly conduct talent reviews and develop succession plans to ensure that we continue to cultivate the leadership pipeline of talent needed to execute our business strategy. We solicit employee feedback on RTX’s performance as an employer via surveys in the pre-hire, active, and exit stages of employment, and use those results to improve our workplace and employee experience. These surveys cover various topics related to employee engagement and 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industry-leading health and safety programs to help maintain a safe work environment for all employees and mitigate workplace incidents, risks, and hazards. We review and monitor our performance and encourage employee input to identify opportunities to reduce incidents. Moreover, we have industry-leading ethics and compliance programs to help mitigate associated employee risks. We also provide health and wellness benefits and support flexible work arrangements for our employees.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on the risks related to our human capital resources, see Item 1A. “Risk Factors” of this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Research and Development and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innovative products and services incorporate advanced technologies. As a result, we invest substantial amounts in research and development activities using our own funds and under contractual arrangements with our customers, to enhance existing products and services and develop future technologies to meet our customers’ changing needs and requirements, as well as to address new business opportunities.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manufacture and service our products in approximately 225 manufacturing, production, or overhaul facilities in approximately 25 countries, including the U.S.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a robust portfolio of patents, trademarks, copyrights, trade secrets, licenses, and franchises related to our businesses. We rely on a combination of these rights, along with nondisclosure agreements, information technology (IT) security systems, internal controls and compliance systems, and other measures to protect our intellectual property. The U.S. government and foreign governments have licenses to certain of our intellectual property, including certain patents, which are developed or used in the performance of government contracts. Commercial customers also have licenses to certain of our intellectual property largely in connection with the sale of our products. While our intellectual property rights in the aggregate are important to the operation of each of our businesses, we do not believe that our business would be materially affected by the expiration of any particular intellectual property right or termination of any particular intellectual property patent license agreement.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Suppliers and Raw Materials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dependent on a global supply chain for a wide range of raw materials, commodities, components, and services. Some of our products require relatively scarce raw materials. In some instances, we depend upon a single source of supply or participate in commodity markets that may be subject to allocations of limited supplies by suppliers. In addition, in some cases, we must comply with specific procurement requirements, which may limit the suppliers and subcontractors we may utilize. We are largely dependent upon foreign sources for certain raw materials, such as cobalt, tantalum, chromium, rhenium, nickel, and titanium, and we rely on foreign suppliers as single-source suppliers of some components.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recent years, we have experienced supply chain disruptions that have impacted our ability to procure raw materials, including certain rare earth elements, microelectronics, and certain commodities, resulting in delays and increased costs. These disruptions have been driven by supply chain market constraints and macroeconomic conditions, including inflation and labor market shortages. The high inflationary environment has increased material and component prices, labor rates and supplier costs, which has negatively impacted our costs. Current geopolitical conditions, including conflicts and other causes of strained intercountry relations, as well as sanctions and other trade restrictive activities, such as tariffs and export controls, are continuing to contribute to these supply chain issues.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implemented certain actions and programs which have mitigated some of the impacts, but we anticipate that supply chain disruptions will continue. We work with our suppliers and subcontractors to assess and address the causes of performance failures and delays, including by providing suppliers with raw materials and technical support. We have arranged second and third supply source alternatives in some cases and have increased our materials and parts inventory. We regularly pursue cost reductions through a number of mechanisms, including consolidating or re-sourcing our purchases, expanding the use of long-term agreements, reducing the number of suppliers generally (except as described above for important supply alternatives), strategic sourcing in cost competitive regions, capitalizing on competitions among suppliers and other low-cost sourcing initiatives, and extending our contractually negotiated raw material pricing to higher-tier suppliers in our supply chain. For additional information related to supply chain issues, see Item IA. “Risk Factors” of this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Matters Relating to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worldwide businesses, our operations can be affected by a variety of economic, industry, and other factors, including those described in this section, in Item 7. “Management’s Discussion and Analysis of Financial Condition and Results of Operations,” in “Cautionary Note Concerning Factors That May Affect Future Results and Risk Factor Summary,” and in Item 1A. “Risk Factors”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businesses are subject to extensive regulation in the industries we serve. We deal with numerous U.S. government agencies and entities, including but not limited to all of the branches of the DoW and the FAA. Similar government authorities exist in all of the countries in which we do business.</w:t>
      </w:r>
    </w:p>
    <w:p>
      <w:pPr>
        <w:pStyle w:val="TextBody"/>
        <w:bidi w:val="0"/>
        <w:spacing w:lineRule="auto" w:line="288" w:before="120" w:after="283"/>
        <w:jc w:val="both"/>
        <w:rPr/>
      </w:pPr>
      <w:r>
        <w:rPr>
          <w:rFonts w:ascii="Times New Roman;serif" w:hAnsi="Times New Roman;serif"/>
          <w:b/>
          <w:color w:val="000000"/>
          <w:sz w:val="20"/>
        </w:rPr>
        <w:t xml:space="preserve">U.S. Government Contracts. </w:t>
      </w:r>
      <w:r>
        <w:rPr>
          <w:rFonts w:ascii="Times New Roman;serif" w:hAnsi="Times New Roman;serif"/>
          <w:b w:val="false"/>
          <w:color w:val="000000"/>
          <w:sz w:val="20"/>
        </w:rPr>
        <w:t>The U.S. government is our largest customer, representing a substantial majority of our total defense sales. Our U.S. government contracts generally are subject to the Federal Acquisition Regulation (FAR), which sets forth policies, procedures, and requirements for the acquisition of goods and services by the U.S. government; department-specific regulations that implement or supplement the FAR, such as the DoW’s Defense Federal Acquisition Regulation Supplement (DFARS); and other applicable laws and regulations. These regulations provide the U.S. government with various rights, including a broad right to unilaterally terminate contracts for convenience. These regulations further impose a broad range of requirements, many of which are unique to government contracting, including various procurement, import and export, security, contract pricing and cost, contract termination and adjustment, audit, and product integrity requirements. A contractor’s failure to comply with these regulations and requirements could result in reductions to the value of contracts, contract modifications or termination, cash withholds on contract payments, forfeiture of profits, and/or the assessment of civil or criminal penalties and fines, and could lead to suspension or debarment, for cause, from U.S. government contracting or subcontracting for a period of time. In addition, in order to support U.S. government priorities, we may begin performance on an undefinitized contract action prior to completing contract negotiations on the terms, specifications, or price between the parties. The U.S. government has the ability to unilaterally definitize contracts, which would obligate us to perform under terms and conditions imposed by the U.S. government without our agreement.</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discussion of risks related to government contracting, including on-going litigation associated with U.S. government audits and investigations, see Item 1A. “Risk Factors” and Item 3. “Legal Proceedings” of this Form 10-K and “Note 17: Commitments and Contingencies” within Item 8 of this Form 10-K.</w:t>
      </w:r>
    </w:p>
    <w:p>
      <w:pPr>
        <w:pStyle w:val="TextBody"/>
        <w:bidi w:val="0"/>
        <w:spacing w:lineRule="auto" w:line="288" w:before="120" w:after="283"/>
        <w:jc w:val="both"/>
        <w:rPr/>
      </w:pPr>
      <w:r>
        <w:rPr>
          <w:rFonts w:ascii="Times New Roman;serif" w:hAnsi="Times New Roman;serif"/>
          <w:b/>
          <w:color w:val="000000"/>
          <w:sz w:val="20"/>
        </w:rPr>
        <w:t xml:space="preserve">Commercial Aerospace Product Regulation. </w:t>
      </w:r>
      <w:r>
        <w:rPr>
          <w:rFonts w:ascii="Times New Roman;serif" w:hAnsi="Times New Roman;serif"/>
          <w:b w:val="false"/>
          <w:color w:val="000000"/>
          <w:sz w:val="20"/>
        </w:rPr>
        <w:t>Our commercial aerospace products are subject to regulations by the FAA, foreign aviation administration authorities, and international regulatory bodies, including on production and quality systems, airworthiness and installation approvals, repair procedures, and continuing operational safety. In addition, commercial aerospace regulations and regulator approaches differ across jurisdictions and changes in such regulations and implementing legislation can impact our operations.</w:t>
      </w:r>
    </w:p>
    <w:p>
      <w:pPr>
        <w:pStyle w:val="TextBody"/>
        <w:bidi w:val="0"/>
        <w:spacing w:lineRule="auto" w:line="288" w:before="120" w:after="283"/>
        <w:jc w:val="both"/>
        <w:rPr/>
      </w:pPr>
      <w:r>
        <w:rPr>
          <w:rFonts w:ascii="Times New Roman;serif" w:hAnsi="Times New Roman;serif"/>
          <w:b/>
          <w:color w:val="000000"/>
          <w:sz w:val="20"/>
        </w:rPr>
        <w:t>Global Trade Regulation.</w:t>
      </w:r>
      <w:r>
        <w:rPr>
          <w:color w:val="000000"/>
        </w:rPr>
        <w:t xml:space="preserve"> </w:t>
      </w:r>
      <w:r>
        <w:rPr>
          <w:rFonts w:ascii="Times New Roman;serif" w:hAnsi="Times New Roman;serif"/>
          <w:b w:val="false"/>
          <w:color w:val="000000"/>
          <w:sz w:val="20"/>
        </w:rPr>
        <w:t>We must comply with various laws and regulations relating to the export and import of products, services, and technology from and into the U.S. and other countries having jurisdiction over our operations. In the U.S., these laws and regulations include, among others, the Export Administration Regulations (EAR) administered by the U.S. Department of Commerce, the International Traffic in Arms Regulations (ITAR) and the Arms Export Control Act (AECA) provisions administered by the U.S. Department of State (DOS), embargoes and sanctions regulations administered by the U.S. Department of the Treasury, and import regulations administered by the U.S. Department of Homeland Security and the U.S. Department of Justice (DOJ). Certain of our products, services, and technologies have military or strategic applications and are on the U.S. Munitions List of the ITAR, the Commerce Control List of the EAR, or are otherwise subject to the EAR and/or the U.S. Munitions Import List, and we are required to obtain licenses and authorizations from the appropriate U.S. government agencies before exporting these products out of the U.S. or importing these products into the U.S. Foreign policy of the U.S. or other licensing jurisdictions may affect the licensing process or otherwise prevent us from engaging in business dealings with certain individuals, entities, or countries. Any failure by us, our customers, or our suppliers to comply with these laws and regulations could result in civil or criminal penalties, fines, seizure of our products, adverse publicity, restrictions on our ability to engage in export or import transactions, or the suspension or debarment from doing business with the U.S. government.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discussion of risks related to exports and imports, see Item 1A. “Risk Factors”.</w:t>
      </w:r>
    </w:p>
    <w:p>
      <w:pPr>
        <w:pStyle w:val="TextBody"/>
        <w:bidi w:val="0"/>
        <w:spacing w:lineRule="auto" w:line="288" w:before="120" w:after="283"/>
        <w:jc w:val="both"/>
        <w:rPr/>
      </w:pPr>
      <w:r>
        <w:rPr>
          <w:rFonts w:ascii="Times New Roman;serif" w:hAnsi="Times New Roman;serif"/>
          <w:b/>
          <w:color w:val="000000"/>
          <w:sz w:val="20"/>
        </w:rPr>
        <w:t xml:space="preserve">Compliance Matters. </w:t>
      </w:r>
      <w:r>
        <w:rPr>
          <w:rFonts w:ascii="Times New Roman;serif" w:hAnsi="Times New Roman;serif"/>
          <w:b w:val="false"/>
          <w:color w:val="000000"/>
          <w:sz w:val="20"/>
        </w:rPr>
        <w:t xml:space="preserve">As previously disclosed, on October 15, 2024, Raytheon Company entered into a deferred prosecution agreement (DPA) (DPA-1) with the DOJ and on October 16, 2024, the Company became subject to an administrative order issued by the Securities and Exchange Commission (SEC) (the SEC Administrative Order) to resolve the previously disclosed criminal and civil government investigations into payments made by Raytheon Company and its joint venture, Thales-Raytheon Systems (TRS), since 2012 in connection with certain Middle East contracts. On October 16, 2024, Raytheon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Under DPA-1, DPA-2,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respective obligations under DPA-1, DPA-2, and the SEC Administrative Order, and that monitor is expected to be in place by the end of the first quarter. DPA-1 and DPA-2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agreement with the SEC, the SEC may vacate the Administrative Order and institute proceedings against the Company. In the event of any such determination of breach, the Company may face additional adverse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Also as previously disclosed, on August 29, 2024, the Company entered into a Consent Agreement (CA) with the DOS to resolve alleged civil violations of the AECA and the ITAR. The CA, which has a three-year term, requires the Company to implement remedial compliance measures and to conduct an external audit of the Company’s ITAR compliance program. The CA also requires appointment of an external independent Special Compliance Officer (SCO). The Company appointed its SCO on September 27, 2024. If the Company is unable to satisfy the requirements of the CA within three years as determined by the DOS, it may face a continuation of the CA, additional fines, or other adverse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discussion of DPA-1, DPA-2, the SEC Administrative Order, and the CA, see Item 7. “Management’s Discussion and Analysis of Financial Condition and Results of Operations,” Item 1A. “Risk Factors,” and “Note 17: Commitments and Contingencies” within Item 8 of this Form 10-K.</w:t>
      </w:r>
    </w:p>
    <w:p>
      <w:pPr>
        <w:pStyle w:val="TextBody"/>
        <w:bidi w:val="0"/>
        <w:spacing w:lineRule="auto" w:line="288" w:before="120" w:after="283"/>
        <w:jc w:val="both"/>
        <w:rPr/>
      </w:pPr>
      <w:r>
        <w:rPr>
          <w:rFonts w:ascii="Times New Roman;serif" w:hAnsi="Times New Roman;serif"/>
          <w:b/>
          <w:color w:val="000000"/>
          <w:sz w:val="20"/>
        </w:rPr>
        <w:t>Environmental Regulation.</w:t>
      </w:r>
      <w:r>
        <w:rPr>
          <w:color w:val="000000"/>
        </w:rPr>
        <w:t xml:space="preserve"> </w:t>
      </w:r>
      <w:r>
        <w:rPr>
          <w:rFonts w:ascii="Times New Roman;serif" w:hAnsi="Times New Roman;serif"/>
          <w:b w:val="false"/>
          <w:color w:val="000000"/>
          <w:sz w:val="20"/>
        </w:rPr>
        <w:t>Our operations are subject to and affected by environmental regulation by federal, state, and local authorities in the U.S. and regulatory authorities with jurisdiction over our international operations, including with respect to chemical substances in our products, manufacturing processes, and the operation of our facilities, as well as the generation, treatment, storage, disposal, and remediation of hazardous substances and wastes. We use hazardous substances and generate hazardous wastes in some of our operations and have incurred, and will likely continue to incur, costs associated with environmental compliance activities and management of remediation matters at sites with pollutants. A portion of these costs are eligible for future recovery through the pricing of our products and services under our contracts with the U.S. government. In addition, we have been identified as a potentially responsible party under the Comprehensive Environmental Response Compensation and Liability Act, also known as the Superfund law, or state law counterparts to the Superfund law, for a number of sites. The nature and extent of environmental concerns vary from site to site and our share of responsibility varies from sole responsibility to very little responsibility. We also manage various government-owned facilities on behalf of the U.S. government. At such facilities, environmental compliance and remediation costs have historically been primarily the responsibility of the U.S. government, and we have relied upon U.S. government funding to pay such costs. We do not anticipate that compliance with current provisions or requirements relating to the protection of the environment or that any payments we may be required to make for cleanup liabilities will have a material adverse effect on our competitive position, results of operations, financial condition, or liquidity. Environmental matters are further addressed in “Note 1: Basis of Presentation and Summary of Accounting Principles” and “Note 17: Commitments and Contingencies” within Item 8 of this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Most of the U.S. laws governing environmental matters include criminal provisions. If we were convicted of a violation of the federal Clean Air Act or Clean Water Act, the facility or facilities involved in the violation could be deemed ineligible to be used in performing any U.S. government contract we are awarded until the Environmental Protection Agency (EPA) thereafter certifies that the condition giving rise to the violation has been corrected.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could be affected by future foreign or domestic laws or regulations imposed in response to concerns over climate change, and we monitor developments in environmental and climate-related laws and regulations and their potential impact to our business and financial condition. Changes in environmental and climate-related laws or regulations, including regulations on greenhouse gas emissions, carbon pricing, energy taxes, product efficiency standards, global chemical regulations, and mandatory disclosure obligations could lead to new or additional investment in product designs and facility upgrades and could increase our operational and environmental compliance expenditures, including increased energy and raw materials costs and costs associated with manufacturing changes.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discussion of risks related to environmental and climate matters and other government regulations, see Item 1A. “Risk Factors” of this Form 10-K.</w:t>
      </w:r>
    </w:p>
    <w:p>
      <w:pPr>
        <w:pStyle w:val="TextBody"/>
        <w:bidi w:val="0"/>
        <w:spacing w:lineRule="auto" w:line="288" w:before="120" w:after="283"/>
        <w:jc w:val="both"/>
        <w:rPr/>
      </w:pPr>
      <w:r>
        <w:rPr>
          <w:rFonts w:ascii="Times New Roman;serif" w:hAnsi="Times New Roman;serif"/>
          <w:b/>
          <w:color w:val="000000"/>
          <w:sz w:val="20"/>
        </w:rPr>
        <w:t>Other Applicable Regulations.</w:t>
      </w:r>
      <w:r>
        <w:rPr>
          <w:color w:val="000000"/>
        </w:rPr>
        <w:t xml:space="preserve"> </w:t>
      </w:r>
      <w:r>
        <w:rPr>
          <w:rFonts w:ascii="Times New Roman;serif" w:hAnsi="Times New Roman;serif"/>
          <w:b w:val="false"/>
          <w:color w:val="000000"/>
          <w:sz w:val="20"/>
        </w:rPr>
        <w:t>We conduct our businesses through subsidiaries and affiliates worldwide. As a result, our businesses and operations are subject to both U.S. and non-U.S. government laws, regulations, and procurement policies and practices, including regulations relating to tariffs, taxes, investment, sanctions, exchange controls, anti-corruption, privacy, and cash repatriation. Our international sales are also subject to varying currency, political, and economic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Cautionary Note Concerning Factors That May Affect Future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10-K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 government defense spending, national priorities, and policy positions;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performance on our contracts and programs, including our ability to control costs, and our dependence on U.S. government approvals for certain international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in the development, certification, production, delivery, support, and performance of RTX’s advanced technologies and new products and services and the realization of anticipated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challenges of operating in RTX’s highly-competitive industries both domestically and abroad;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U.S. and non-U.S. suppliers and commodity markets, including cost increases and disruptions in the delivery of materials and services to RTX or our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trade policies, implementation of sanctions, imposition of tariffs (and counter-tariffs), and other trade measures and restrictions, foreign currency fluctuations, and sales methods;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economic condition of the aerospace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RTX to attract, train, qualify, and retain qualified personnel and maintain its culture and high ethical standards, and the ability of our personnel to continue to operate our facilities and businesses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nature, timing, and challenges of managing and completing acquisitions, investments, divestitures, and other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legal, environmental, regulatory, and other requirements in the U.S. and other countries in which RTX and its businesses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pending, threatened, and future legal proceedings, investigations, audits, and other contingencies;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Deferred Prosecution Agreements, SEC Administrative Order, the Consent Agreement; and the related investigations by the SEC and the DOJ;</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RTX’s ability to engage in desirable capital-raising or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repurchases by RTX of its common stock, or declarations of cash dividends, which may be discontinued, accelerated, suspended, or delayed at any time due to various factors;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realizing expected benefits from, incurring costs for, and successfully managing strategic initiatives such as cost reduction, restructuring, digital transformation, and other operational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tax exposures due to new tax legislation or other developments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Powder Metal Matter;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production volumes of one or more of our significant customers as a result of business, labor, or other challenges, and the resulting effect on its or their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RTX product safety failure, quality issue, or other failure affecting RTX’s or its customers’ or suppliers’ products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including cyber-attacks on RTX’s information technology (IT) infrastructure, products, suppliers, customers and partners, and cybersecurity-related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indemnity or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intellectual property and certain third-party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threats to RTX facilities and personnel, or those of its suppliers or customers, as well as public health crises, damaging weather, acts of nature, or other similar events outside of RTX’s control that may affect RTX or its suppliers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estimates for our programs on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pension and other postretirement plan estimates and assumptions and contributions;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impairment of goodwill and other intangible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climate change and climate-related regulations, and any related customer and market demands, products and technologies. </w:t>
      </w:r>
    </w:p>
    <w:p>
      <w:pPr>
        <w:pStyle w:val="TextBody"/>
        <w:bidi w:val="0"/>
        <w:spacing w:lineRule="auto" w:line="288" w:before="120" w:after="283"/>
        <w:jc w:val="both"/>
        <w:rPr/>
      </w:pPr>
      <w:r>
        <w:rPr>
          <w:rFonts w:ascii="Times New Roman;serif" w:hAnsi="Times New Roman;serif"/>
          <w:b w:val="false"/>
          <w:color w:val="000000"/>
          <w:sz w:val="20"/>
        </w:rPr>
        <w:t xml:space="preserve">In addition, this Form 10-K includes important information as to risks, uncertainties, and other factors that may cause actual results to differ materially from those expressed or implied in the forward-looking statements.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Times New Roman;serif" w:hAnsi="Times New Roman;serif"/>
          <w:b w:val="false"/>
          <w:color w:val="212529"/>
          <w:sz w:val="20"/>
        </w:rPr>
        <w:t>SEC</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operating results, financial condition, and liquidity can be impacted by the factors set forth below, any one of which could cause our actual results to vary materially from recent results or from our anticipated future results.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INDUSTRY RISKS</w:t>
      </w:r>
    </w:p>
    <w:p>
      <w:pPr>
        <w:pStyle w:val="TextBody"/>
        <w:bidi w:val="0"/>
        <w:spacing w:lineRule="auto" w:line="288" w:before="120" w:after="283"/>
        <w:jc w:val="both"/>
        <w:rPr/>
      </w:pPr>
      <w:r>
        <w:rPr>
          <w:rFonts w:ascii="Times New Roman;serif" w:hAnsi="Times New Roman;serif"/>
          <w:b/>
          <w:i/>
          <w:color w:val="000000"/>
          <w:sz w:val="20"/>
        </w:rPr>
        <w:t>Changes in U.S. government defense spending could negatively impact our financial position, results of operations, liquidity, and overall business.</w:t>
      </w:r>
      <w:r>
        <w:rPr>
          <w:color w:val="000000"/>
        </w:rPr>
        <w:t xml:space="preserve"> </w:t>
      </w:r>
      <w:r>
        <w:rPr>
          <w:rFonts w:ascii="Times New Roman;serif" w:hAnsi="Times New Roman;serif"/>
          <w:b w:val="false"/>
          <w:color w:val="000000"/>
          <w:sz w:val="20"/>
        </w:rPr>
        <w:t>U.S. government sales constitute a significant portion of our consolidated sales. Our U.S. government revenues largely result from contracts awarded under various U.S. government programs, primarily defense-related programs with the U.S. Department of War (DoW) (formerly referred to as the U.S. Department of Defense), and a broad range of programs with other departments and agencies. Changes in U.S. government defense spending for various reasons, including as a result of potential changes in policy or budgetary positions or priorities, could negatively impact our results of operations, financial condition, and liquidity. Our programs and contracts are subject to U.S. government policies, budget decisions, and appropriation processes, which are driven by numerous factors including U.S. domestic and broader geopolitical events, macroeconomic conditions, and the ability of the U.S. government to enact relevant legislation, such as appropriations bills. In recent years, U.S. government appropriations have been affected by larger U.S. government budgetary issues and related legislation, and the U.S. government has been unable to complete its budget process before the end of its fiscal year, resulting in both governmental shutdowns and continuing resolutions providing only enough funds for U.S. government agencies to continue operating at prior-year levels. Our business, program performance, and results of operations could be impacted by the resulting disruptions to federal government offices, workers, and operations, including risks relating to the funding of certain programs or contracts, stop work orders, as well as delays in contract awards, new program starts, payments for work performed, and other actions. As a result, U.S. government defense spending levels are subject to a wide range of outcomes and are difficult to predict beyond the near-term due to numerous factors, including the external threat environment, future governmental priorities, and the state of governmental finances. Significant changes in U.S. government defense spending or changes in U.S. government priorities, policies, and requirements could have a material adverse effect on our results of operations, financial condition, and liquidity.</w:t>
      </w:r>
    </w:p>
    <w:p>
      <w:pPr>
        <w:pStyle w:val="TextBody"/>
        <w:bidi w:val="0"/>
        <w:spacing w:lineRule="auto" w:line="288" w:before="120" w:after="283"/>
        <w:jc w:val="both"/>
        <w:rPr/>
      </w:pPr>
      <w:r>
        <w:rPr>
          <w:rFonts w:ascii="Times New Roman;serif" w:hAnsi="Times New Roman;serif"/>
          <w:b/>
          <w:i/>
          <w:color w:val="000000"/>
          <w:sz w:val="20"/>
        </w:rPr>
        <w:t xml:space="preserve">We face risks relating to our U.S. government contracts and programs, including the mix of our U.S. government contracts and programs, our performance, and our ability to control costs. </w:t>
      </w:r>
      <w:r>
        <w:rPr>
          <w:rFonts w:ascii="Times New Roman;serif" w:hAnsi="Times New Roman;serif"/>
          <w:b w:val="false"/>
          <w:color w:val="000000"/>
          <w:sz w:val="20"/>
        </w:rPr>
        <w:t>The termination of one or more of our U.S. government contracts, or the occurrence of performance delays, cost overruns, product failures, shortages in materials, components, or labor, contract definitization delays, or other failures to perform to customer expectations and contract requirements, could negatively impact our reputation and competitive position, results of operations, financial condition, and liquidity. U.S. government contracts with prime contractors generally permit the government to terminate the contract, in whole or in part, without prior notice, at the U.S. government’s convenience or for default based on performance. If one of our contracts is terminated for convenience, we would generally be entitled to payments for our allowable costs incurred, termination costs, and would receive some allowance for profit on the work performed. If one of our contracts is terminated for default, we would generally be entitled to payments for work accepted by the U.S. government. A termination arising out of our default could expose us to liability and have a negative impact on our ability to obtain future contracts and orders. In addition, we are a subcontractor on some programs, and the U.S. government could terminate the prime contract for convenience or otherwise, without regard to our performance as a subcontractor. We may not be able to offset lost revenues resulting from contract termination. Moreover, because the funding of U.S. government programs is subject to congressional appropriations made on a fiscal year basis even for multi-year programs, programs are often only partially funded initially and may not continue to be funded in future years. Appropriation bills may be delayed, which may result in delays to funding, the collection of receivables, and our contract performance due to lack of authorized funds to procure related products and services. The timing of contract definitization can be affected by factors specific to the U.S. government, including staffing limitations. Under certain circumstances, we may use our own funds to meet our customer’s desired delivery dates or other requirements, but we may not be reimbursed. Further, if appropriations for one of our programs become unavailable, reduced, or delayed, the U.S. government may terminate for convenience our contract or subcontract under that program. In addition, our U.S. government contracts typically involve the development, application, and manufacture of advanced defense and technology systems and products aimed at achieving challenging goals. As a result of untested or unproven technologies, or modified requirements or specifications, we may experience technological and other performance difficulties (including delays, setbacks, cost overruns, or product failures), our attention or resources may be diverted from other projects, and our future sales opportunities may be impacted. Additionally, as our customers demand more mature solutions, we may be required to invest in development prior to contract award with no guarantee of award.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profitability could be negatively affected based on the mix of our U.S. government contracts and programs and the costs incurred of performing the work, especially if we are unable to control costs or if our initial cost estimates are incorrect, particularly under fixed-price development contracts. Our U.S. government contracts are typically either fixed-priced contracts or cost reimbursement contracts. Fixed-price contracts are predominantly either firm fixed-price (FFP) contracts or fixed-price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incentive (FPI) contracts. Under FFP contracts, we receive a fixed price irrespective of the actual costs we incur, and we therefore carry the burden of any cost overruns. Under FPI contracts, we generally share with the U.S. government savings for cost underruns less than target costs and expenses for cost overruns exceeding target costs up to a negotiated ceiling price. We carry the entire burden of cost overruns exceeding the ceiling price amount under FPI contracts, which may result in a cumulative adjustment in the period our estimates change. Under cost reimbursable contracts, we are reimbursed for allowable costs and are typically paid a fixed or performance-based fee, but we are generally not reimbursed for unauthorized costs exceeding a cost ceiling amount or costs not allowable under the contract or applicable regulations. Excess costs on cost reimbursable contracts could also result in lower profit rates. We may incur unexpected costs for various reasons, including technical and manufacturing challenges, schedule delays, the timeliness and availability of materials, components, or labor, the inaccuracy of initial contract cost estimates, internal and subcontractor performance or product quality issues, inability to achieve expected cost reduction, digital transformation, manufacturing, operating, and other strategic initiatives, inflation, inability to pass on tariff costs, and changing laws or regulations, natural disasters, and public health crises. We may also experience cost underruns which would reduce contract value and related expected revenues, and we may be unable to expand the contract scope or secure additional work to offset the resulting lost revenues. While contracts for development programs with complex design and technical challenges are often cost reimbursable, they can be FFP or FPI, which can significantly increase our risk of a potential negative profit adjustment, as development contracts by nature involve elements that have not been undertaken before and, thus, are highly subject to future unexpected cost growth. In addition, other contracts in backlog are for the transition from development to production, which includes starting and stabilizing a manufacturing and test line while the final design is still being validated. Moreover, over the past several years, the DoW has increased its use of Other Transaction Authority (OTA) agreements, under which it awards certain prototypes, research, and production contracts without all of the procurement requirements that typically apply to DoW contracts, including justification of sole source awards. OTAs may use fixed-price contracting during all phases of the contract, or mandated contract cost sharing. They may also require non-traditional subcontractor participation and impose other requirements that differ from our other DoW contracts. Our business may be negatively impacted if we are unable to bid for OTA work and/or perform on our OTA agreements, including any applicable non-traditional requirements. In addition, in order to support U.S. government priorities, we may begin performance on an undefinitized contract action with a not-to-exceed price before completing contract negotiations on the terms, specifications, or price between the parties. The U.S. government has the ability to unilaterally definitize contracts, which would obligate us to perform under terms and conditions imposed by the U.S. government without our agreement. Uncertainties in final contract price, specifications and terms, or loss of negotiating leverage associated with particularly long delays in contract definitization may negatively affect our profitability. Our U.S. government contracts also require us to comply with extensive and evolving procurement laws, rules and regulations and subject us to potential U.S. government surveillance, audits, investigations, and disputes. We are also involved in programs that are classified by the U.S. government, which have security requirements that place limits on our ability to discuss our performance on these programs, including any risks, disputes, and claims.</w:t>
      </w:r>
    </w:p>
    <w:p>
      <w:pPr>
        <w:pStyle w:val="TextBody"/>
        <w:bidi w:val="0"/>
        <w:spacing w:lineRule="auto" w:line="288" w:before="120" w:after="283"/>
        <w:jc w:val="both"/>
        <w:rPr/>
      </w:pPr>
      <w:r>
        <w:rPr>
          <w:rFonts w:ascii="Times New Roman;serif" w:hAnsi="Times New Roman;serif"/>
          <w:b/>
          <w:i/>
          <w:color w:val="000000"/>
          <w:sz w:val="20"/>
        </w:rPr>
        <w:t xml:space="preserve">Our international business is subject to economic, regulatory, competition, and other risks. </w:t>
      </w:r>
      <w:r>
        <w:rPr>
          <w:rFonts w:ascii="Times New Roman;serif" w:hAnsi="Times New Roman;serif"/>
          <w:b w:val="false"/>
          <w:color w:val="000000"/>
          <w:sz w:val="20"/>
        </w:rPr>
        <w:t xml:space="preserve">Our international sales and operations are subject to risks associated with political and economic factors, regulatory requirements, competition, and other risks. A significant portion of our sales are international, including U.S. export sales. Transactions related to non-U.S. operations may be denominated in local currencies. Foreign currency exchange rate fluctuations (including their impact on supplier prices) may negatively affect demand for our products and our operating profit and margins. The majority of our commercial aerospace sales are in U.S. Dollars, while the majority of our non-U.S. operating costs are incurred in the applicable local currency. Pratt &amp; Whitney Canada is especially susceptible to fluctuations in exchange rates for this reason. In addition, because our financial statements are denominated in U.S. Dollars, currency fluctuations may cause translation gains or losses for non-U.S. operating unit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sales and operations are also subject to risks associated with local government laws, regulations, and policies, including with respect to investments, taxation, exchange controls, capital controls, employment regulations, repatriation of earnings, and tariffs. Differing legal systems, customs, and contract laws and regulations pose additional risk. International transactions may include contractual terms that differ from those of similar contracts in the U.S. or that may be interpreted differently in foreign countries. In addition, in certain foreign countries, we engage foreign non-employee representatives and consultants for international sales and teaming with international subcontractors, partners, and suppliers for international programs. While we have robust policies and controls in place, these engagements expose us to various risks including those associated with the Foreign Corrupt Practices Act (FCPA) and local antibribery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or our foreign subsidiaries. In addition, foreign companies may be subject to fewer restrictions on technology transfer than U.S.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contracts, particularly for sales of defense products and services, may include offset obligations or industrial cooperation obligations requiring specific local purchases, manufacturing agreements, technology transfer agreements, financial support obligations, or other local investments, sometimes in the form of in-country industrial participation (ICIP) agreements. Approvals of offset or ICIP thresholds and requirements may be subjective and time-consuming and may delay contract awards. Certain customers’ demands are increasing for greater offset or ICIP commitment levels, higher-value content, including the transfer of technologies and capabilities, and local production and economic development. In addition, our ability to satisfy customer demands relating to the transfer of technologies and capabilities under ICIP arrangements and other international contracts may be limited by U.S. government export controls.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above factors, we could experience financial penalties and award and funding delays on international programs, our profitability on these programs could be negatively affected, and we could incur losses on these programs that could negatively impact our results of operations, financial condition, and liquidity.</w:t>
      </w:r>
    </w:p>
    <w:p>
      <w:pPr>
        <w:pStyle w:val="TextBody"/>
        <w:bidi w:val="0"/>
        <w:spacing w:lineRule="auto" w:line="288" w:before="120" w:after="283"/>
        <w:jc w:val="both"/>
        <w:rPr/>
      </w:pPr>
      <w:r>
        <w:rPr>
          <w:rFonts w:ascii="Times New Roman;serif" w:hAnsi="Times New Roman;serif"/>
          <w:b/>
          <w:i/>
          <w:color w:val="000000"/>
          <w:sz w:val="20"/>
        </w:rPr>
        <w:t xml:space="preserve">Geopolitical factors and changes in policies and regulations could adversely affect our business. </w:t>
      </w:r>
      <w:r>
        <w:rPr>
          <w:rFonts w:ascii="Times New Roman;serif" w:hAnsi="Times New Roman;serif"/>
          <w:b w:val="false"/>
          <w:color w:val="000000"/>
          <w:sz w:val="20"/>
        </w:rPr>
        <w:t xml:space="preserve">Our international sales and operations are sensitive to changes in foreign national priorities, foreign government budgets, and regional and local political and economic factors, including wars and armed conflicts, political or civil unrest, volatility in energy prices or supply, inflation, interest rates, changes in threat environments and political relations, and geopolitical uncertainties. Our international sales and operations are also sensitive to changes in U.S. or foreign government laws, regulations, and policies, including those related to tariffs, sanctions, embargoes, export and import controls, other trade restrictions, and trade agreements. Events such as increased trade restrictions, retaliatory trade policies, or regime change can affect demand for our products and services, the competitive position of our products, our supply chain, and our ability to manufacture or sell products in certain countries. Further, operations in emerging market countries are subject to additional risks, including volatility in rates of economic growth,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financial condition, or liquidity.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given the role of our defense businesses in the support of the national security interests of the U.S. and its allies, we are subject to risks and uncertainties relating to policies of the U.S. and its allies, as well as other countries, including those that are or become regarded as potential adversaries or threats. We engage in both direct commercial sales, which generally require U.S. government licenses and approvals, as well as foreign military sales, which are government-to-government transactions initiated by, and carried out at the direction of, the U.S. government. Changes in budgets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2023, China announced sanctions against Raytheon Missiles &amp; Defense (RMD) (a former RTX Corporation (RTX) business segment, which became part of Raytheon as a result of the July 1, 2023 RTX segment realignment),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Aerospace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 Our businesses have sold, and are expected to sell in the future, additional defense products to Taiwan from time to time in alignment with U.S. government policy,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potential impacts to RTX’s business, customers, suppliers, employees, and operations in Israel, the Middle East, and the region at large due to continued regional instability and tensions.</w:t>
      </w:r>
    </w:p>
    <w:p>
      <w:pPr>
        <w:pStyle w:val="TextBody"/>
        <w:bidi w:val="0"/>
        <w:spacing w:lineRule="auto" w:line="288" w:before="120" w:after="283"/>
        <w:jc w:val="both"/>
        <w:rPr/>
      </w:pPr>
      <w:r>
        <w:rPr>
          <w:rFonts w:ascii="Times New Roman;serif" w:hAnsi="Times New Roman;serif"/>
          <w:b/>
          <w:i/>
          <w:color w:val="000000"/>
          <w:sz w:val="20"/>
        </w:rPr>
        <w:t xml:space="preserve">Our financial performance is dependent on the condition of the aerospace industry. </w:t>
      </w:r>
      <w:r>
        <w:rPr>
          <w:rFonts w:ascii="Times New Roman;serif" w:hAnsi="Times New Roman;serif"/>
          <w:b w:val="false"/>
          <w:color w:val="000000"/>
          <w:sz w:val="20"/>
        </w:rPr>
        <w:t>Our commercial aerospace businesses constitute a substantial portion of our financial results, and the performance of those businesses is directly tied to economic conditions in the commercial aerospace industry, which is cyclical in nature. Capital spending and demand for aircraft engines, aerospace products, and component aftermarket parts and services is limited to commercial airlines, lessors, other aircraft operators, and aircraft manufacturers that are influenced by a wide variety of factors, including current and predicted traffic levels, load factors, aircraft fuel prices, labor issues, airline consolidation, bankruptcies and restructuring activities, competition, the retirement of older aircraft, corporate profitability and financial health, cost reduction efforts, tightening of credit in financial markets and the availability of aircraft leasing and financing alternatives, remaining performance obligations levels, the satisfaction of certification or other regulatory requirements for aircraft in various jurisdictions, regulatory changes, terrorism and related safety concerns, political stability, and general economic conditions. Any of these factors affecting the industry could reduce the sales and margins of our aerospace businesses. In addition, because we have significant business with Airbus and Boeing, our aerospace businesses could be adversely affected by challenges faced by these or other individual customers. Other factors, including future terrorist actions, aviation safety concerns, public health issues, or major natural disasters, could also dramatically reduce the demand for commercial air travel, which could negatively impact the sales and margins of our aerospace businesses. Additionally, because a substantial portion of product deliveries to commercial aerospace customers are scheduled for delivery in the future, changes in economic conditions may cause customers to request that firm orders be rescheduled or canceled. At times, our aerospace businesses also enter into FFP or cost-share development contracts with customers, which may require us to bear cost overruns related to unforeseen technical and design challenges that arise during the development and early production stages of a program. Spare parts sales and aftermarket services, particularly under long-term aftermarket contracts are also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ready to enter into service. A reduction in spending in the commercial aviation industry could have a significant effect on the demand for our products, which could have a material adverse effect 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i/>
          <w:color w:val="000000"/>
          <w:sz w:val="20"/>
        </w:rPr>
        <w:t xml:space="preserve">We design, manufacture, and service products that incorporate advanced technologies; the introduction of new products and technologies involves risks, and we may not realize the degree or timing of benefits initially anticipated. </w:t>
      </w:r>
      <w:r>
        <w:rPr>
          <w:rFonts w:ascii="Times New Roman;serif" w:hAnsi="Times New Roman;serif"/>
          <w:b w:val="false"/>
          <w:color w:val="000000"/>
          <w:sz w:val="20"/>
        </w:rPr>
        <w:t xml:space="preserve">The design, development, production, sale, and support of innovative commercial aerospace and defense systems and products involves advanced technologies. We invest substantial amounts in research and development efforts to pursue advancements in a wide range of technologies, products, and services aimed at meeting the ever-evolving product, program, and service needs of our customers. Our ability to realize the anticipated benefits of our investments depends on a variety of factors, including the competitiveness of our offerings’ performance relative to our peers; meeting development, production, certification, and regulatory approval schedules; receiving regulatory approvals; execution of internal and external performance plans; achieving cost and production efficiencies; availability and quality of supplier- and internally-produced parts and materials; availability of supplier and internal facility capacity to perform maintenance, repair, and overhaul services; availability of test equipment; development of complex software; hiring and training of qualified personnel; identification of emerging technological trends for our target end-customers; the level of customer interest in new technologies and products; requirements to provide disclosure and company intellectual property rights for certain government procurement programs; and customer acceptance of our products and technologies. For example we are investing in artificial intelligence, among other advanced technologies, and our business may be adversely affected if we are unable to successfully integrate the technology into our internal business processes and products and services in a timely, cost-effective, compliant, and responsible manner. The methods and processes we use to develop, deploy or otherwise use artificial intelligence systems may be found to not be in compliance with rapidly evolving regulatory standards thereby preventing or frustrating our use of the systems or creating liability for us. These methods and processes may further perform in unexpected ways or be misused, jeopardizing RTX’s intellectual property or potentially resulting in unexpected loss or misappropriation of intellectual property. Improper use of artificial intelligence could also lead to data breaches, undetected cyber-attacks, regulatory action, and reputational risks. In addition, our customers manufacture or acquire end products and systems that incorporate certain of our products. These end products and systems may also incorporate additional technologies manufactured by third parties and involve additional risks and uncertainties. As a result, the performance and industry acceptance of these larger systems and end products could affect the level of customer interest in, and acceptance of, our products in the marketplace. In addition, many of our products must adhere to strict regulatory and market-driven safety and performance standards in a variety of jurisdictions. The evolving nature of these standards, along with the long duration of development, production, and aftermarket support programs, creates uncertainty regarding program profitability, particularly with our aircraft engine products. Development efforts divert resources from other potential investments in our businesses, and these efforts may not lead to the development of new technologies or products on a timely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basis or meet the needs of our customers as fully as alternative investments. In addition, the industries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or those of our customers or third party manufacturers that incorporate our products into theirs or our customers’ products, we may experience delays in completing the development and introduction of new products, or we may experience the suspension of production after these products enter into service due to safety concerns. Delays and/or suspension of production could result in increased development costs or deflect resources from other projects. If we fail in our development projects or if our new products or technologies fail to achieve customer acceptance or competitors develop more capable technologies or offerings, we may be unsuccessful in obtaining new contracts or winning all or a portion of next generation programs, including in key areas such as advanced sensing solutions, next-generation aircraft engine technologies, advanced avionics solutions and hypersonics. Any of the foregoing could have a material adverse effect on our competitive position,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particular, Pratt &amp; Whitney’s Geared Turbofan (GTF) family of engines incorporates advanced technologies. The level of orders received for the GTF family of engines, coupled with a requirement to achieve mature production levels in a very short time frame, have required significant growth in our manufacturing and supply chain capacity. In addition, in July 2023 Pratt &amp; Whitney determined that a rare condition in powder metal used to manufacture certain engine parts requires accelerated inspection of the PW1100G-JM (PW1100) GTF fleet, which powers the A320neo family of aircraft. This issue has resulted in increased engine removals and inspections, shop visits, aircraft on ground levels, and costs to the Company. If any of our production or maintenance, repair, and overhaul ramp-up efforts are delayed, if suppliers cannot timely deliver or perform to our standards, if any other engine models are found to be materially impacted by the powder metal issue, and/or if we identify or experience other issues, including durability issues, with in-service engines in the GTF family of engines (or other engines), whether for manufacturing reasons or otherwise, we may not meet customer requirements, which could result in material additional costs, including liquidated damages or other liabilities.</w:t>
      </w:r>
    </w:p>
    <w:p>
      <w:pPr>
        <w:pStyle w:val="TextBody"/>
        <w:bidi w:val="0"/>
        <w:spacing w:lineRule="auto" w:line="288" w:before="120" w:after="283"/>
        <w:jc w:val="both"/>
        <w:rPr/>
      </w:pPr>
      <w:r>
        <w:rPr>
          <w:rFonts w:ascii="Times New Roman;serif" w:hAnsi="Times New Roman;serif"/>
          <w:b/>
          <w:i/>
          <w:color w:val="000000"/>
          <w:sz w:val="20"/>
        </w:rPr>
        <w:t>Competition may reduce our revenues and margins and limit our future opportunities.</w:t>
      </w:r>
      <w:r>
        <w:rPr>
          <w:color w:val="000000"/>
        </w:rPr>
        <w:t xml:space="preserve"> </w:t>
      </w:r>
      <w:r>
        <w:rPr>
          <w:rFonts w:ascii="Times New Roman;serif" w:hAnsi="Times New Roman;serif"/>
          <w:b w:val="false"/>
          <w:color w:val="000000"/>
          <w:sz w:val="20"/>
        </w:rPr>
        <w:t xml:space="preserve">We operate in highly competitive industries and our competitors may have more extensive or more specialized engineering, manufacturing, servicing, and marketing capabilities than we do. Our contracts are typically awarded on a competitive basis. Our bids are based in part upon the cost to provide the products and services. If we fail to accurately estimate these costs, the profitability of our contracts may be adversely affected. In addition, we may face customer-directed cost reduction targets that could have a material adverse effect on the profitability of our contracts if these targets are not achieved when required. Moreover, bid protests from unsuccessful bidders on new program awards are frequent with respect to DoW awards in particular. Generally, a bid protest will delay the start of contract activities, delay earnings, and could result in the award decision being overturned and require a re-bid of the contract. We have also experienced highly competitive pricing, in which a bidder may anticipate making a substantial investment in a program in order to win the work. Highly competitive activity within the commercial aerospace industry has included substantial discounts and other financial incentives, performance and operating cost guarantees, and participation in financing arrangements, in order to secure both new engine business and the aftermarket revenues associated with these products. If our competitors can offer lower cost services or products, or provide services or products more quickly, at equivalent or in some cases even reduced capabilities, we may lose business opportunities, which could adversely affect our future results. Competitors may also be willing to accept more risk or lower profitability in competing for contracts than we are. Further, our competitors, including our customers, may develop competing technologies which gain industry acceptance in advance of, or instead of, our products, or meet particular in-demand technological needs before us or with technology that is superior to our existing or new technologies. This competition could cause our existing technologies and offerings to become obsolete or otherwise decrease demand for our offerings. In addition, the possibility exists that competitors or customers will develop aftermarket services and parts for our products that attract customers and adversely impact our return on investment on original equipment manufacturer products. We also anticipate companies continuing to enhance their competitive position against our defense businesses as a result of continued domestic and cross-border defense industry consolidation and the expansion of competitors’ capabilities. We are also facing increased competition domestically and internationally from foreign and multinational firms. Additionally, some customers, including the DoW, are increasingly turning to commercial contractors, other non-traditional defense contractors, and startups. For example, the U.S. government may award large competitive contracts to other suppliers to maintain a broad industrial base. In addition, U.S. government procurement policies and procedures and the application thereof are regularly changing. For example, an increase in the use of contract structures that shift risk to the contractor (such as fixed-price development contracts and incentive-based fee arrangements), use of novel award fee criteria, evaluation of a bidder’s willingness to provide detailed competitively sensitive intellectual property (such as detailed RTX design, manufacturing and process information that would risk loss of competitively sensitive information), or requirements to transfer technology to domestic sources in connection with offset obligations, could adversely affect our profit rates, ability to preserve differentiated product offerings, maintain lower tier suppliers, or make it more difficult to win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contracts. If we are unable to continue to compete successfully against our current or future competitors in our core businesses, we may experience declines in revenues and industry segment share which could have a material adverse effect on our competitive position, results of operations, financial condition, or liquidity.</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OPERATIONAL RISKS</w:t>
      </w:r>
    </w:p>
    <w:p>
      <w:pPr>
        <w:pStyle w:val="TextBody"/>
        <w:bidi w:val="0"/>
        <w:spacing w:lineRule="auto" w:line="288" w:before="120" w:after="283"/>
        <w:jc w:val="both"/>
        <w:rPr/>
      </w:pPr>
      <w:r>
        <w:rPr>
          <w:rFonts w:ascii="Times New Roman;serif" w:hAnsi="Times New Roman;serif"/>
          <w:b/>
          <w:i/>
          <w:color w:val="000000"/>
          <w:sz w:val="20"/>
        </w:rPr>
        <w:t xml:space="preserve">Our business and financial performance may be adversely affected by cyber-attacks on information technology (IT) infrastructure and products, as well as changes in cybersecurity regulations. </w:t>
      </w:r>
      <w:r>
        <w:rPr>
          <w:rFonts w:ascii="Times New Roman;serif" w:hAnsi="Times New Roman;serif"/>
          <w:b w:val="false"/>
          <w:color w:val="000000"/>
          <w:sz w:val="20"/>
        </w:rPr>
        <w:t>Our business may be impacted by disruptions to our own or third-party IT infrastructure, and the products and services that we provide our customers are also at risk of being adversely affected by cyber-attacks. Like other companies, we regularly experience cyber-based attacks. Cybersecurity threats are continuously evolving and may have an impact on our customers, suppliers, subcontractors, and other third parties with whom we do business routinely, both on premises and in the cloud, attempting to gain unauthorized access to our confidential, proprietary, or otherwise protected information, classified information, or personal data or other information relating to our employees, customers, and other third parties, or to disrupt our systems or the systems of third parties. Cybersecurity threats also include attacks targeting the security, confidentiality, integrity, and/or availability of the hardware, software, and information installed, stored, or transmitted in our products, including after the purchase of those products and when they are incorporated into third-party products, facilities, or infrastructure. We are also exposed to the risk of insider threat attacks. Any such attacks could disrupt our systems or those of third parties (including mission and safety critical systems), impact business operations, result in unauthorized release of confidential, proprietary, or otherwise protected information, and corrupt our data or that of third parties. The threats we face are continuous and evolving, and vary in degree of severity and sophistication. These threats include advanced persistent threats from highly organized adversaries, including but not limited to cyber criminals, nation states, and so-called hacktivists, particularly those adverse to the security interests of the U.S. and its allies, which target us and other defense contractors. These types of threats are related to the geopolitical environment and have, therefore, grown in number due to recent geopolitical conflicts. In addition, as a result of the rapid pace of technological change, we and our customers, suppliers, subcontractors, and other third parties with whom we conduct business continue to rely on legacy systems and software, which can be more vulnerable to cyber threats and attacks. Moreover, we, like other companies, are seeing an unprecedented number of previously unknown vulnerabilities, for which there are no known mitigations, being revealed by new attacks. Further, the sophistication, availability, and use of artificial intelligence by threat actors present an increased level of risk. Due to the evolving threat landscape, we have experienced and expect to continue to experience more frequent and increasingly advanced cyber-attacks. In addition, changes in domestic and international cybersecurity-related laws and regulations have expanded cybersecurity-related compliance requirements, and cybersecurity regulatory enforcement activity has grown. We expect the regulatory environment to continue to evolve, and these regulatory changes could increase our operational and compliance expenditures and those of our suppliers, and lead to new or additional IT and product development expenses. We also face reputational, litigation, and financial risks in relation to potential required disclosures and increased risk of enforcement. We continue to make investments and adopt measures designed to enhance our protection, detection, response, and recovery capabilities, and to mitigate potential risks to our technology, products, services, and operations from potential cybersecurity threats, as well as to comply with evolving regulations. However, given the unpredictability, nature, and scope of cyber-attacks, it is possible that we are unable to defend against all cyber-attacks, that potential vulnerabilities could go undetected and persist in the environment for an extended period, or that we may otherwise be unable to mitigate customer losses and other potential consequences of these attacks. In addition, some products and services that we provide to customers, particularly those related to public security, may raise potential liabilities related to privacy and intellectual property. In some cases, we must rely on the safeguards put in place by our customers, suppliers, subcontractors, and other third parties to protect against and report cyber threats and attacks. We could potentially be subject to production downtimes, operational delays, other detrimental impacts on our operations, or ability to provide products and services to our customers, the compromise of confidential information, intellectual property or otherwise protected information, misappropriation, destruction, or corruption of data, security breaches, other manipulation or improper use of our or third-party systems, networks, or products, financial losses from remedial actions, loss of business, or potential liability, penalties, fines, and/or damage to our reputation. Any of these could have a material adverse effect on our competitive position, results of operations, financial condition, or liquidity. Due to the evolving nature of such risks, the impact of any potential incident cannot be predicted. Further, our insurance coverage, which may exclude losses from war or cyber operations, may not be adequate to cover all related costs and we may not otherwise be fully indemnified for them.</w:t>
      </w:r>
    </w:p>
    <w:p>
      <w:pPr>
        <w:pStyle w:val="TextBody"/>
        <w:bidi w:val="0"/>
        <w:spacing w:lineRule="auto" w:line="288" w:before="120" w:after="283"/>
        <w:jc w:val="both"/>
        <w:rPr/>
      </w:pPr>
      <w:r>
        <w:rPr>
          <w:rFonts w:ascii="Times New Roman;serif" w:hAnsi="Times New Roman;serif"/>
          <w:b/>
          <w:i/>
          <w:color w:val="000000"/>
          <w:sz w:val="20"/>
        </w:rPr>
        <w:t xml:space="preserve">We are dependent on a global supply chain and subject to risks related to the availability of materials and the performance of our suppliers; in recent years we have experienced supply chain disruptions that resulted in delays and increased costs and adversely affected our performance. </w:t>
      </w:r>
      <w:r>
        <w:rPr>
          <w:rFonts w:ascii="Times New Roman;serif" w:hAnsi="Times New Roman;serif"/>
          <w:b w:val="false"/>
          <w:color w:val="000000"/>
          <w:sz w:val="20"/>
        </w:rPr>
        <w:t xml:space="preserve">Our performance requires a variety of raw materials, supplier-provided parts, components, sub-systems, and contract manufacturing services, and we rely on U.S. and non-U.S. suppliers (including third-party manufacturing suppliers, subcontractors, and service providers) and commodity markets for these materials and services. In some instances, we depend upon a single source of supply, manufacturing, services support, or assembly, or participate in commodity markets that may be subject to allocations of limited supplies by suppliers. Emerging laws and increasing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requirements aimed at global supply chains may impact our ability to access certain materials and components, and otherwise adversely affect our business, and we may not only be held responsible for our compliance, but for that of our suppliers. In addition, our defense businesses are subject to specific procurement requirements that limit the types of materials they use. Our defense businesses also must require suppliers to comply with various DoW requirements, any of which requirements may further limit the suppliers and subcontractors they may utilize. Identifying and qualifying second- or third- source suppliers can be difficult, time-consuming, and may result in increased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supply chain disruptions have impacted our ability to procure raw materials, including certain rare earth elements, microelectronics, and certain commodities. These disruptions have been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In addition, the inflationary environment has increased material and component prices, labor rates, and supplier costs, and negatively impacted costs. Credit market conditions, including higher interest rates and the availability of credit, have impacted some of our suppliers and subcontractors as well. As a result of these procurement issues, the production flow in our factories has been negatively impacted, which has, in turn, hindered our ability to perform on our commitments to customers and negatively affected our results of operations, financial condition, and liquidity. Our supply costs have increased due to the above factors. In addition, we are largely dependent upon foreign sources for certain raw materials, such as cobalt, tantalum, chromium, rhenium, nickel, and titanium, and we rely on foreign suppliers as single-source suppliers of some components. Some raw materials and components have been in the past sourced from areas now under sanctions, such as Russia, or are currently sourced from areas which are at risk of sanctions or other trade restrictive actions, such as China.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impacts of these supply chain risks and issues and our ability to mitigate them are uncertain and difficult to predict. However, we expect the current supply chain, inflation, and price issues, and their negative impacts on our business, to continue. In particular, we expect to experience prolonged delays for certain critical component parts and sub-systems. Furthermore, the existing supply chain issues could be compounded by other events, such as an economic downturn; changes in trade policies, such as tariffs; supplier capacity constraints for other reasons; supplier quality issues (for example, defects or fraudulent parts); supplier closing, bankruptcy, or financial difficulties; price increases for various reasons; and worsening shortages of raw materials or commodities, including as a result of war or other geopolitical actions, natural disaster, health pandemics or other business continuity events, or transport and distribution issues, any of which could further negatively impact our ability to meet our commitments to customers or increase our operating costs and therefore incrementally affect our results of operations, financial condition, and liquidity. </w:t>
      </w:r>
    </w:p>
    <w:p>
      <w:pPr>
        <w:pStyle w:val="TextBody"/>
        <w:bidi w:val="0"/>
        <w:spacing w:lineRule="auto" w:line="288" w:before="120" w:after="283"/>
        <w:jc w:val="both"/>
        <w:rPr/>
      </w:pPr>
      <w:r>
        <w:rPr>
          <w:rFonts w:ascii="Times New Roman;serif" w:hAnsi="Times New Roman;serif"/>
          <w:b/>
          <w:i/>
          <w:color w:val="000000"/>
          <w:sz w:val="20"/>
        </w:rPr>
        <w:t xml:space="preserve">Due to the nature of our products and services, a product safety failure, quality issue, or other failure affecting our or our customers’ or suppliers’ products or systems could seriously harm our business. </w:t>
      </w:r>
      <w:r>
        <w:rPr>
          <w:rFonts w:ascii="Times New Roman;serif" w:hAnsi="Times New Roman;serif"/>
          <w:b w:val="false"/>
          <w:color w:val="000000"/>
          <w:sz w:val="20"/>
        </w:rPr>
        <w:t>Our products and services are highly sophisticated and specialized, involve complex advanced technologies, are often integrated with third-party products and services, and are utilized for specific purposes that require precision, reliability, and durability. Many of our products and services include both hardware and software that involve industrial machinery and intricate aviation and defense systems, including commercial and military jet engines, power and control systems, and other aircraft parts, air and missile defense systems, and military sensors and command and control systems. Technical, mechanical, quality, electronic, and other failures may occur from time to time, whether as a result of manufacturing or design defect, operational process, or production issue attributable to us, our customers, suppliers, partners, third party integrators, or others. Product design changes and updates could also have associated cost and schedule impacts. In addition, our products could fail as a result of cyber-attacks, such as those that seize control and result in misuse or unintended use of our products, or other intentional acts. The impact of a catastrophic product or system failure or similar event affecting our or our customers’ or suppliers’ products or services could be significant, and could result in injuries or death, property damage, loss of strategic capabilities, loss of intellectual property, loss of reputation, and other significant negative effects. A product or system failure, or perceived failure, could lead to negative publicity, a diversion of management attention, and damage to our reputation that could reduce demand for our products and services. It could also result in product recalls and product liability and warranty claims (including claims related to the safety or reliability of our products) and related expenses, other service, repair, and maintenance costs, labor and material costs, customer support costs, significant damages, and other costs, including fines and other remedies, and regulatory and environmental liabilities. We may also incur increased costs, delayed payments, reputational harm, or lost equipment or services revenue in connection with a significant issue with a third party’s product with which our products are integrated. Further, our insurance coverage may not be adequate to cover all related costs and we may not otherwise be fully indemnified for them. Any of the foregoing could have a material adverse effect on our competitive position,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in 2023, Pratt &amp; Whitney determined that a rare condition in powder metal used to manufacture certain engine parts requires accelerated inspection of the PW1100 GTF fleet, which powers the A320neo family of aircraft.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determination and corresponding fleet actions have resulted in, and are expected to continue to result in, an elevated level of aircraft on ground for the A320neo family of aircraft and significant incremental shop visits necessary to perform inspections on PW1100 GTF engines through the end of 2026. As a result, we have and will continue to incur significant customer support and mitigation costs and significant labor, material, and related costs. This matter has caused reputational harm and has negatively impacted, and will continue to impact, our results of operations and financial condition. The expected financial impact of the powder metal issue is based on historical experience and is subject to various assumptions and judgments, including, without limitation, the number and expected timing of shop visits, inspection results and scope of work to be performed, turnaround time, availability of parts, available capacity at overhaul facilities, and outcomes of negotiations with impacted customers, and these assumptions are subject to variability. Potential changes to these assumptions could have a material effect on the Company’s results of operations for the periods in which it is recognized. In addition, other engine models within Pratt &amp; Whitney’s fleet contain parts manufactured with affected powder metal. The negative impacts arising from the Powder Metal Matter could increase if any other engine models are found to be materially impacted by this rare condition.</w:t>
      </w:r>
    </w:p>
    <w:p>
      <w:pPr>
        <w:pStyle w:val="TextBody"/>
        <w:bidi w:val="0"/>
        <w:spacing w:lineRule="auto" w:line="288" w:before="120" w:after="283"/>
        <w:jc w:val="both"/>
        <w:rPr/>
      </w:pPr>
      <w:r>
        <w:rPr>
          <w:rFonts w:ascii="Times New Roman;serif" w:hAnsi="Times New Roman;serif"/>
          <w:b/>
          <w:i/>
          <w:color w:val="000000"/>
          <w:sz w:val="20"/>
        </w:rPr>
        <w:t xml:space="preserve">We depend on the recruitment and retention of qualified personnel, and our failure to attract, train, and retain such personnel could seriously harm our business. </w:t>
      </w:r>
      <w:r>
        <w:rPr>
          <w:rFonts w:ascii="Times New Roman;serif" w:hAnsi="Times New Roman;serif"/>
          <w:b w:val="false"/>
          <w:color w:val="000000"/>
          <w:sz w:val="20"/>
        </w:rPr>
        <w:t>Due to the specialized nature of our business, our future performance is highly dependent upon the continued services of our key technical personnel and executive officers, and the hiring, development, and retention of qualified technical, engineering, manufacturing, marketing, sales, and management personnel for our operations. Our defense business in particular requires qualified personnel with security clearances due to our classified programs. As portions of our workforce continue to retire and we lose experienced personnel in the future, it is critical that we develop other employees, hire new qualified personnel, and successfully manage the transfer of critical skillsets and industry knowledge within our workforce.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continue to experience, challenges hiring highly qualified personnel including engineers, skilled laborers, and security clearance holders. We expect these difficulties to continue in the future. In addition, the cost of labor remains high. With respect to existing personnel, some may become required to receive various security clearances and substantial training in order to work on certain programs or perform certain tasks. Necessary security clearances may be delayed, which may impact our ability to perform on our U.S. government contracts. We also may not be successful in training or developing qualified personnel with the requisite relevant skills or security clearances. Moreover, some of our employees are covered by collective bargaining agreements. Historically, we have been able to renegotiate expiring agreements without experiencing significant prolonged disruptions to business operations. However, the labor environment has experienced shifts that pose higher risk of future labor disruption. Any of the above factors could seriously harm our business. </w:t>
      </w:r>
    </w:p>
    <w:p>
      <w:pPr>
        <w:pStyle w:val="TextBody"/>
        <w:bidi w:val="0"/>
        <w:spacing w:lineRule="auto" w:line="288" w:before="120" w:after="283"/>
        <w:jc w:val="both"/>
        <w:rPr/>
      </w:pPr>
      <w:r>
        <w:rPr>
          <w:rFonts w:ascii="Times New Roman;serif" w:hAnsi="Times New Roman;serif"/>
          <w:b/>
          <w:i/>
          <w:color w:val="000000"/>
          <w:sz w:val="20"/>
        </w:rPr>
        <w:t xml:space="preserve">Exports and imports of certain of our products are subject to various export control, sanctions, and import regulations and may require authorization from regulatory agencies of the U.S. or other countries. </w:t>
      </w:r>
      <w:r>
        <w:rPr>
          <w:rFonts w:ascii="Times New Roman;serif" w:hAnsi="Times New Roman;serif"/>
          <w:b w:val="false"/>
          <w:color w:val="000000"/>
          <w:sz w:val="20"/>
        </w:rPr>
        <w:t>We must comply with various laws and regulations relating to the export and import of products, services, and technology from and into the U.S. and other countries having jurisdiction over our operations. In the U.S., these laws and regulations include, among others, the Export Administration Regulations (EAR) administered by the U.S. Department of Commerce, the International Traffic in Arms Regulations (ITAR) and Arms Export Control Act (AECA) provisions administered by the U.S. Department of State (DOS), embargoes and sanctions regulations administered by the U.S. Department of the Treasury, and import regulations administered by the U.S. Department of Homeland Security and the U.S. Department of Justice (DOJ). Certain of our products, services, and technologies have military or strategic applications and are on the U.S. Munitions List of the ITAR, the Commerce Control List of the EAR, or are otherwise subject to the EAR and/or the U.S. Munitions Import List, and we are required to obtain licenses and authorizations from the appropriate U.S. government agencies before exporting these products out of the U.S. or importing these products into the U.S. U.S. foreign policy or the foreign policy of other licensing jurisdictions may affect the licensing process or otherwise prevent us from engaging in business dealings with certain individuals, entities, or countries. From time to time, we identify, investigate, remediate and voluntarily disclose violations or potential violations of the ITAR, EAR, or other global trade laws and regulations. Any failure by us, our customers, or our suppliers to comply with the above-referenced laws and regulations, arising out of our voluntary disclosures or otherwise, could result in civil or criminal penalties, fines, seizure of our products, adverse publicity, restrictions on our ability to engage in export or import transactions, or the suspension or debarment from doing business with the U.S. government. Moreover, any changes in export control, sanctions, or import regulations may further restrict the export or import of our products or services, and the possibility of such changes requires constant monitoring to ensure we remain compliant. Our ability to obtain required licenses and authorizations on a timely basis, or at all, is subject to risks and uncertainties, including changing laws, regulations, or foreign policies, delays in Congressional action, or geopolitical and other factors. If we are not successful in obtaining or maintaining the necessary licenses or authorizations in a timely manner, our sales relating to those approvals may be prevented or delayed, and revenue and profit previously recognized may be reversed. Any restrictions on the export or import of our products or product lines could have a material adverse effect on our competitive position, results of operations, financial condition,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previously disclosed, on August 29, 2024, the Company entered into a Consent Agreement (CA) with the DOS to resolve alleged civil violations of the AECA and the ITAR. The CA, which has a three-year term, requires the Company to implement remedial compliance measures and to conduct an external audit of the Company’s ITAR compliance program. The CA also requires appointment of an external, independent Special Compliance Officer (SCO). The Company appointed its SCO on September 27, 2024. If we are unable to satisfy the requirements of the CA within three years as determined by the DOS, we may face a continuation of the CA, additional fines, or other adverse impacts. In addition, during the term of the CA, the CA’s transaction-related requirements may impact our ability to execute potential future divestitures within expected timeframes or consistent with expected valuation metrics, and on acceptable terms and conditions, which could delay or impair our ability to achieve the expected benefits from our strategic plan, or otherwise harm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i/>
          <w:color w:val="000000"/>
          <w:sz w:val="20"/>
        </w:rPr>
        <w:t xml:space="preserve">Our business and financial performance may be adversely affected by threats to our physical security and other events outside our control. </w:t>
      </w:r>
      <w:r>
        <w:rPr>
          <w:rFonts w:ascii="Times New Roman;serif" w:hAnsi="Times New Roman;serif"/>
          <w:b w:val="false"/>
          <w:color w:val="000000"/>
          <w:sz w:val="20"/>
        </w:rPr>
        <w:t>We could encounter threats to our physical security, including our facilities and personnel, and threats from workplace violence, civil unrest, terrorism, or similar acts, any of which could disrupt our business. In addition, our business, and the businesses of our suppliers, subcontractors, service providers, and customers, could be disrupted by public health crises, such as pandemics and epidemics, and governmental, business, and individual actions taken in response, damaging weather or other acts of nature, physical attacks due to proximity to nation-state conflicts, cyber-attacks on IT infrastructure and products, or other events outside of our control. Any such business disruption could subject us to production downtimes, operational delays, supply chain challenges, other detrimental impacts on our operations or ability to provide products and services to our customers, decreased demand for our products, decreased defense budgets, financial losses from remedial actions, the diversion of management’s attention and resources, or loss of business, any of which could have a material adverse effect on our competitive position, results of operations, financial condition, or liquidity. The impact of any such business disruption is difficult to predict.</w:t>
      </w:r>
    </w:p>
    <w:p>
      <w:pPr>
        <w:pStyle w:val="TextBody"/>
        <w:bidi w:val="0"/>
        <w:spacing w:lineRule="auto" w:line="288" w:before="120" w:after="283"/>
        <w:jc w:val="both"/>
        <w:rPr/>
      </w:pPr>
      <w:r>
        <w:rPr>
          <w:rFonts w:ascii="Times New Roman;serif" w:hAnsi="Times New Roman;serif"/>
          <w:b/>
          <w:i/>
          <w:color w:val="000000"/>
          <w:sz w:val="20"/>
        </w:rPr>
        <w:t xml:space="preserve">We depend on our intellectual property and have access to certain third-party intellectual property; infringement or failure to protect our intellectual property or access to third party intellectual property could adversely affect our future growth and success. </w:t>
      </w:r>
      <w:r>
        <w:rPr>
          <w:rFonts w:ascii="Times New Roman;serif" w:hAnsi="Times New Roman;serif"/>
          <w:b w:val="false"/>
          <w:color w:val="000000"/>
          <w:sz w:val="20"/>
        </w:rPr>
        <w:t>We rely on a combination of patents, trademarks, copyrights, trade secrets, nondisclosure agreements, IT security systems, internal controls and compliance systems, and other measures to protect our intellectual property. We also rely on nondisclosure agreements, confidentiality obligations in contracts, IT security systems, and other measures to protect certain customer and supplier information and intellectual property that we have in our possession or to which we have access. The U.S. government and foreign governments have licenses under certain of our intellectual property, including certain patents, which are developed or used in performance of government contracts. Governments may use or authorize others (including our competitors) to use such patents and intellectual property for government and other purposes. Governments may challenge the sufficiency of intellectual property rights we have granted in government contracts and attempt to obtain greater rights, which could reduce our ability to protect our intellectual property rights and to compete. In some instances, we have augmented our technology base by licensing the proprietary intellectual property of others. Intellectual property obtained from third parties is also subject to challenge, invalidation, misappropriation, or circumvention by third parties. In addition, we may not be able to obtain necessary licenses on commercially reasonable terms. In other instances, our ability to procure and perform government contracts requires us to obtain certain rights in the intellectual property of others through government grants. Governments may deny us the right to obtain such rights in the intellectual property of others, which may affect our ability to perform government contracts. Moreover,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Our ability to protect and enforce our intellectual property rights may be limited in certain countries outside the U.S. In addition, we may be the target of competitor or other third-party patent enforcement actions seeking substantial monetary damages or seeking to prevent our sale and marketing of certain of our products or services. Our competitive position also may be adversely impacted by limitations on our ability to obtain possession of, and ownership of, necessary licenses concerning data important to the development or provision of our products or service offerings, or by limitations on our ability to restrict the use by others of data related to our products or services. We may also be subject to disruptions, losses, and liability resulting from various cybersecurity attacks or IT failures, as described above. Any of these events or factors could have a material adverse effect on our competitive position, subject us to judgments, penalties, and significant litigation costs, or temporarily or permanently disrupt our sales and marketing of the affected products or services. Any of the foregoing could have a material adverse effect on our competitive position, results of operations, financial condition, or liquidity.</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LEGAL, ENVIRONMENTAL, AND REGULATORY RISKS</w:t>
      </w:r>
    </w:p>
    <w:p>
      <w:pPr>
        <w:pStyle w:val="TextBody"/>
        <w:bidi w:val="0"/>
        <w:spacing w:lineRule="auto" w:line="288" w:before="120" w:after="283"/>
        <w:jc w:val="both"/>
        <w:rPr/>
      </w:pPr>
      <w:r>
        <w:rPr>
          <w:rFonts w:ascii="Times New Roman;serif" w:hAnsi="Times New Roman;serif"/>
          <w:b/>
          <w:i/>
          <w:color w:val="000000"/>
          <w:sz w:val="20"/>
        </w:rPr>
        <w:t xml:space="preserve">As a U.S. government contractor, we are subject to risks relating to U.S. government audits, investigations, and disputes. </w:t>
      </w:r>
      <w:r>
        <w:rPr>
          <w:rFonts w:ascii="Times New Roman;serif" w:hAnsi="Times New Roman;serif"/>
          <w:b w:val="false"/>
          <w:color w:val="000000"/>
          <w:sz w:val="20"/>
        </w:rPr>
        <w:t xml:space="preserve">We are subject to U.S. government investigations relating to our U.S. government contracts. Such U.S. government investigations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in connection with a U.S. government investigation (including fraud, or violation of certain environmental, FCPA, and other anti-bribery and anti-corruption laws, or export laws, as further described below),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and could void any contracts found to be tainted by fraud. We also could suffer reputational harm if allegations of impropriety were made against us, even if such allegations are later determined to be unsubstantiated. Further, our U.S. government contracts are subject to audit and we have received audit reports recommending the reduction of certain contract prices because, for example, cost or pricing data disclosures or cost accounting practices used to price and negotiate those contracts may not have conformed to government regulations. Some of these audit reports recommend that certain payments be repaid, delayed, or withheld, and may involve substantial amounts, which could, if the audit reports’ theories were to prevail in litigation, also have future impacts such as increasing the costs absorbed by our commercial businesses. We have made voluntary refunds in those cases we believe appropriate, have settled some allegations, and, in some cases, continue to negotiate and/or litigate. We may be, and have been, required to make significant payments into escrow of disputed liabilities while the related litigation is pending. If the litigation is resolved in our favor, any such payments will be returned to us with interest. The Defense Contract Audit Agency (DCAA) and the Defense Contract Management Agency (DCMA) also review the adequacy of, and our compliance with, our internal control systems and policies, including our accounting, purchasing, government property, estimating, earned value management, and material management accounting systems. Our final allowable incurred costs for each year are subject to audit and have from time to time resulted in disputes between us and the U.S. government, including DCMA claims to recover payments for alleged noncompliance with cost accounting standards. Any costs found to be improperly allocated to a specific contract will not be reimbursed by the U.S. government or must be refunded by us to the U.S. government if already reimbursed. In some cases, the DOJ has conducted investigations or convened grand juries to investigate possible irregularities in our costs. An adverse outcome of any audit or investigation could result in civil and criminal penalties and fines, which could negatively impact our results of operations, financial condition, and liquidity. In addition, if allegations of impropriety were made against us, we could suffer serious reputational harm, which could negatively affect our results of operations, financial position, and liquidity. As discussed below and as previously disclosed, in October 2024, the Company entered into a deferred prosecution agreement and a civil settlement agreement with the DOJ to resolve investigations relating to pricing on certain government contracts. </w:t>
      </w:r>
    </w:p>
    <w:p>
      <w:pPr>
        <w:pStyle w:val="TextBody"/>
        <w:bidi w:val="0"/>
        <w:spacing w:lineRule="auto" w:line="288" w:before="120" w:after="283"/>
        <w:jc w:val="both"/>
        <w:rPr/>
      </w:pPr>
      <w:r>
        <w:rPr>
          <w:rFonts w:ascii="Times New Roman;serif" w:hAnsi="Times New Roman;serif"/>
          <w:b/>
          <w:i/>
          <w:color w:val="000000"/>
          <w:sz w:val="20"/>
        </w:rPr>
        <w:t xml:space="preserve">A violation by Raytheon Company or the Company of any one of the deferred prosecution agreements or Securities and Exchange Commission (SEC) administrative order announced on October 16, 2024 could adversely affect our business. </w:t>
      </w:r>
      <w:r>
        <w:rPr>
          <w:rFonts w:ascii="Times New Roman;serif" w:hAnsi="Times New Roman;serif"/>
          <w:b w:val="false"/>
          <w:color w:val="000000"/>
          <w:sz w:val="20"/>
        </w:rPr>
        <w:t xml:space="preserve">As previously disclosed, on October 15, 2024, Raytheon Company entered into a deferred prosecution agreement (DPA)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Thales-Raytheon Systems (TRS), since 2012 in connection with certain Middle East contracts. On October 16, 2024, Raytheon also entered into a DPA (DPA-2) and a False Claims Act (FCA) settlement agreement with the DOJ to resolve previously disclosed criminal and civil government investigations into defective pricing claims for certain legacy Raytheon contracts entered into between 2011 and 2013 and in 2017. The Company made a settlement payment, criminal and civil penalties, restitution, and disgorgement, as applicable, pursuant to DPA-1, DPA-2, the SEC Administrative Order and the FCA settlement agreement as described in “Note 17: Commitments and Contingencies” within Item 8 of this Form 10-K. Pursuant to DPA-1, among other terms, the DOJ will defer, for a period of three years, criminal prosecution of Raytheon Company related to one count of conspiracy to violate the anti-bribery provisions of the FCPA and one count of conspiracy to violate the AECA by failing to make related disclosures of certain payments that qualified as fees, commissions and/or political contributions under Part 130 of ITAR. Pursuant to DPA-2, among other terms, the DOJ will defer, for a period of three years, criminal prosecution of Raytheon Company related to two counts of major fraud against the United States by Raytheon Company involving two legacy contracts. Under DPA-1, DPA-2,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DPA-1, DPA-2, and the SEC Administrative Order, and that monitor is expected to be in place by the end of the first quarter. DPA-1 and DPA-2 further provide that, in the event the DOJ, in its sole discretion, determines during the deferred prosecution period that Raytheon Company or the Company has violated any provision of either DPA, Raytheon Company or the Company may be subject to prosecution for any federal criminal violations brought against Raytheon Company or the relevant Company in DPA-1 and DPA-2. The SEC Administrative Order further provides that, in the event of a breach of the SEC Administrative Order, the SEC may vacate the Administrative Order and institute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against the Company. Any breach of DPA-1, DPA-2, or the SEC Administrative Order could subject Raytheon Company or the Company to criminal prosecutions and/or administrative proceedings, resulting in additional criminal and civil penalties and fines, extension of either DPA’s term(s), including the terms of the monitorship, increased future regulatory and legal scrutiny by U.S. or foreign government agencies, additional reputational harm, additional compliance costs, suspension of export privileges and/or suspension or debarment from U.S. government contracting or subcontracting for a period of time, any of which could negatively affect our results of operations, financial position, and liquidity. In addition, during the term of the DPAs, the DPAs’ transaction-related requirements may impact our ability to execute potential future divestitures within expected timeframes or consistent with expected valuation metrics, which could delay or impair our ability to achieve the expected benefits from our strategic plan, or otherwise harm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i/>
          <w:color w:val="000000"/>
          <w:sz w:val="20"/>
        </w:rPr>
        <w:t xml:space="preserve">We are subject to litigation, environmental, anti-corruption, and other legal and compliance risks. </w:t>
      </w:r>
      <w:r>
        <w:rPr>
          <w:rFonts w:ascii="Times New Roman;serif" w:hAnsi="Times New Roman;serif"/>
          <w:b w:val="false"/>
          <w:color w:val="000000"/>
          <w:sz w:val="20"/>
        </w:rPr>
        <w:t>We are subject to a variety of litigation and legal compliance risks. These risks relate to, among other things, product safety and reliability, personal injuries, intellectual property rights, contract-related claims, government contracts, taxes, environmental matters, the use of chemical substances, the use of artificial intelligence, export control, sanctions, employment matters, securities laws, competition laws, and laws governing improper business practices. We or one of our businesses could be charged with wrongdoing as a result of such matters. If convicted or found liable, we could be subject to significant fines, penalties, repayments, or other damages (in certain cases, treble damages). Product recalls or other supply disruptions and product liability and warranty claims can result in significant damages and costs, including fines, as well as other harm to our business as discussed above. As a global business, we are subject to complex laws and regulations in the U.S. and in other countries in which we operate. Those laws and regulations may be interpreted in different ways. They may also change from time to time, as may related interpretations and other guidance. Changes in laws or regulations could result in higher expenses. Uncertainty relating to laws or regulations may also affect how we conduct our operations and structure our investments and could limit our ability to enforce our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hazardous substances and generate hazardous wastes in our operations. We also rely upon the use of chemical substances that are heavily regulated in connection with our products, manufacturing processes and operation of our facilities. As a result, we are subject to potentially material liabilities related to potential non-compliance and both personal injuries or property damage that may be caused by hazardous substance releases and exposures. Personal injury lawsuits may involve individual and purported class actions alleging that contaminants originating from our current or former products or operating facilities caused or contributed to medical conditions, including cancers or other illnesses incurred by employees, former employees, third-parties’ employees, or residents in the area, and environmental damage or diminution of real estate values. For example, we are investigating and remediating contamination related to past practices at a number of properties and, in some cases, have been named as a defendant in related “toxic tort” claims. We are also subject to laws and regulations that: (1) impose requirements for chemical substances and the proper management, treatment, storage, and disposal of hazardous substances and wastes; (2) restrict air and water emissions from our operations (including U.S. government-owned facilities we manage); and (3) require maintenance of a safe workplace. These laws and regulations can lead to substantial fines and criminal sanctions for violations, and may require the installation of costly equipment or operational changes to limit pollution emissions, decrease the likelihood of accidental hazardous substance releases, and/or reduce the risks of injury to people. We incur, and expect to continue to incur, capital and other expenditures to comply with these laws and regulations. 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 Even in litigation where we believe our liability is remote, there is a risk that a negative finding or decision in a matter involving multiple plaintiffs or a purported class action could have a material adverse effect on our competitive position, results of operations, financial condition, or liquidity, in particular with respect to environmental claims in regions where we have, or previously had, significant operations. In addition, new laws, regulations, or governmental policies, sudden changes in the interpretation and enforcement of existing laws and regulations, the discovery of previously unknown contamination, or the imposition of new clean-up standards could require us to incur additional costs in the future that would have a negative effect on our results of operations, financial condition,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FCPA and other anti-bribery and anti-corruption laws generally prohibit companies and their intermediaries from making improper payments to U.S. and non-U.S. officials for the purpose of obtaining or retaining business. These laws apply to companies, individual directors, officers, employees, and agents. U.S. companies also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the FCPA and other anti-bribery and anti-corruption laws, including the anti-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bribery and anti-corruption laws of non-U.S. countries. Our policies mandate compliance with these anti-bribery and anti-corruption laws. Despite meaningful measures that we undertake to ensure lawful conduct, which include training and internal control policies, these measures may not always prevent violations of the FCPA or similar laws. As discussed above and as previously disclosed, in October 2024, the Company entered into a DPA with the DOJ and consented to the entry of an SEC Administrative Order to resolve investigations related to conduct that, among other things, violated the FCPA. We have been subject to regulatory investigations for alleged violations of anti-bribery and anti-corruption laws, and could be subject to such investigations in the future, which could result in criminal and civil penalties, disgorgement, further changes or enhancements to our procedures, policies and controls, personnel changes, or other remedial actions. Violations of these laws, or allegations of such violations, could disrupt our operations, cause reputational harm, involve significant management attention, and result in a material adverse effect on our competitive position,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artificial intelligence, and data security and protection laws and regulations are evolving and present increasing compliance challenges, which may increase our costs, affect our competitiveness, cause reputational harm, and expose us to substantial fines or other penalties. </w:t>
      </w:r>
    </w:p>
    <w:p>
      <w:pPr>
        <w:pStyle w:val="TextBody"/>
        <w:bidi w:val="0"/>
        <w:spacing w:lineRule="auto" w:line="288" w:before="120" w:after="283"/>
        <w:jc w:val="both"/>
        <w:rPr/>
      </w:pPr>
      <w:r>
        <w:rPr>
          <w:rFonts w:ascii="Times New Roman;serif" w:hAnsi="Times New Roman;serif"/>
          <w:b/>
          <w:i/>
          <w:color w:val="000000"/>
          <w:sz w:val="20"/>
        </w:rPr>
        <w:t xml:space="preserve">Our business and financial performance may be adversely affected by climate change, including regulations, customer demand, technologies, and extreme weather. </w:t>
      </w:r>
      <w:r>
        <w:rPr>
          <w:rFonts w:ascii="Times New Roman;serif" w:hAnsi="Times New Roman;serif"/>
          <w:b w:val="false"/>
          <w:color w:val="000000"/>
          <w:sz w:val="20"/>
        </w:rPr>
        <w:t>Our business may be impacted by climate change and governmental and industry actions taken in response, which present short, medium, and long-term risks to our business and financial condition. Current and emerging environmental and climate-related laws, regulations, or other policies, including regulations on greenhouse gas emissions, carbon pricing, energy taxes, product efficiency standards, and mandatory disclosure obligations, could increase our operational and compliance expenditures and those of our suppliers, including increased energy and raw materials costs, and costs associated with manufacturing changes, and lead to new or additional investments in product designs and facility upgrades. In addition, we continue to see ever-increasing demands for offerings focused on addressing long-term climate change, transitioning to lower emission technologies, including low to no carbon products and services, the use of alternative energy sources, and other sustainable aviation technologies, weather and climate monitoring products and services. Customers, shareholders, and institutional investors may focus on measuring and minimizing environmental impact, including our environmental sustainability practices and commitments with respect to our operations, products, and suppliers. As a result, we continue to evaluate making additional investments in new technologies and capabilities, and devoting management and other resources in response to the foregoing. We may not realize, on a timely basis or at all, the anticipated benefits of these investments and actions for a variety of reasons, including technological challenges, evolving government and customer requirements, and our ability to anticipate them and develop in-demand technologies on a timely basis, and other risks related to the development of advanced technologies described above. In addition, certain technologies will be dependent upon government action, such as investments in infrastructure, creating appropriate market incentives, and making certain raw materials available for development of certain technologies. Moreover, we rely on our suppliers to timely and effectively adapt and meet our evolving technological supply needs, and they may be unable to fully respond to our requirements in a timely manner or at all. We also face competition risks as our competitors also respond to advancing sustainable technologies. Our competitors may develop these in-demand technologies before we do, their new technologies may be deemed by our customers to be superior to technologies we may develop, and their technologies may otherwise gain industry acceptance in advance of or instead of our products. In addition, as we and our competitors develop increasingly sustainable technologies, demand for our older offerings may decrease or become nonexistent. Our reputation may also be damaged if we or our industry fail, or are perceived to fail, to achieve sustainability goals or commitments or to comply with evolving environmental and climate-related regulations. In addition, climate-related litigation and government investigations could be commenced against us, could be costly to defend, and could adversely affect our business. Moreover, our business, the businesses of our suppliers, subcontractors, service providers, distributors, and customers, and the industries in which we operate, could be negatively impacted by increasing frequency and severity of acute extreme weather events caused by climate change, including hurricanes, tornadoes, floods, snow and ice storms, fires, heat waves, and mud slides, and by chronic changes in weather patterns, such as temperature increases, drought, and sea level rise. These events could damage our and our suppliers’ facilities, products, and other assets, and cause disruptions to our business and operations, supply chain, and distribution networks, and the businesses of our customers, and require an increase in expenditures to improve climate resiliency of our operations. Any of the foregoing could materially decrease our revenues and materially increase our costs and expenses.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FINANCIAL, TAX, AND INSURANCE RELATED RISKS</w:t>
      </w:r>
    </w:p>
    <w:p>
      <w:pPr>
        <w:pStyle w:val="TextBody"/>
        <w:bidi w:val="0"/>
        <w:spacing w:lineRule="auto" w:line="288" w:before="120" w:after="283"/>
        <w:jc w:val="both"/>
        <w:rPr/>
      </w:pPr>
      <w:r>
        <w:rPr>
          <w:rFonts w:ascii="Times New Roman;serif" w:hAnsi="Times New Roman;serif"/>
          <w:b/>
          <w:i/>
          <w:color w:val="000000"/>
          <w:sz w:val="20"/>
        </w:rPr>
        <w:t xml:space="preserve">Our debt levels and related debt service obligations could negatively impact our intended capital allocation, and we may be unable to obtain debt at competitive rates, on commercially reasonable terms, or in sufficient amounts. </w:t>
      </w:r>
      <w:r>
        <w:rPr>
          <w:rFonts w:ascii="Times New Roman;serif" w:hAnsi="Times New Roman;serif"/>
          <w:b w:val="false"/>
          <w:color w:val="000000"/>
          <w:sz w:val="20"/>
        </w:rPr>
        <w:t xml:space="preserve">We have outstanding debt and other financial obligations, and we depend, in part, upon the issuance of debt to fund our business requirements. The increased indebtedness of RTX in connection with the $10 billion accelerated share repurchase (ASR) transactions that began in October 2023 and completed in September 2024 may have various negative impacts on our business. These include shifting significant cash flow from operations to debt principal and interest payments, which will reduce funds we have available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purposes, such as acquisitions, research and development, and other reinvestments in our businesses, and dividends and common stock repurchases. It could also reduce our flexibility in planning for, or reacting to, changes in our business and market conditions. It exposes us to interest rate and credit market risk at the time of refinancing outstanding debt, as well as these same risks on our commercial paper obligations, which are issued at variable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if we require additional funding in order to fund outstanding financing commitments or meet other business requirements, a number of factors could cause us to incur increased borrowing costs and to have greater difficulty accessing public and private markets for debt, any of which may adversely affect our ability to fund our business requirements. These factors include disruptions or declines in the global capital markets and/or a decline in our financial performance, outlook, or credit ratings. Downgrades of our credit ratings may result, if we are unable to meet operating expectations and our cash flow expectations, or to the extent that we are unable to reduce our outstanding debt according to planned timeframes.</w:t>
      </w:r>
    </w:p>
    <w:p>
      <w:pPr>
        <w:pStyle w:val="TextBody"/>
        <w:bidi w:val="0"/>
        <w:spacing w:lineRule="auto" w:line="288" w:before="120" w:after="283"/>
        <w:jc w:val="both"/>
        <w:rPr/>
      </w:pPr>
      <w:r>
        <w:rPr>
          <w:rFonts w:ascii="Times New Roman;serif" w:hAnsi="Times New Roman;serif"/>
          <w:b/>
          <w:i/>
          <w:color w:val="000000"/>
          <w:sz w:val="20"/>
        </w:rPr>
        <w:t>We use estimates in accounting for many of our programs, and changes in our estimates could adversely affect our future financial results.</w:t>
      </w:r>
      <w:r>
        <w:rPr>
          <w:color w:val="000000"/>
        </w:rPr>
        <w:t xml:space="preserve"> </w:t>
      </w:r>
      <w:r>
        <w:rPr>
          <w:rFonts w:ascii="Times New Roman;serif" w:hAnsi="Times New Roman;serif"/>
          <w:b w:val="false"/>
          <w:color w:val="000000"/>
          <w:sz w:val="20"/>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nature of the work required to be performed on many of our performance obligations, the estimation of total revenues and cost at completion is complex and subject to many variables. Management must make assumptions and estimates regarding contract revenue and cost (such as estimates of variable consideration, including award fees and penalties), including with respect to: (1) labor productivity and availability; (2) the complexity and scope of the work to be performed; (3) the availability and cost of materials including any impact from changing costs or inflation; (4) the length of time to complete the performance obligation; (5) execution by our subcontractors; (6) the availability and timing of funding from our customer; (7) overhead cost rates; and (8) current and past maintenance cost and frequency driven by estimated aircraft and engine utilization and estimated useful lives of components, among other variables. Cost estimates may also include the estimated cost of satisfying our industrial cooperation agreements, sometimes in the form of either offset obligations or ICIP agreements, required under certain contracts. In addition, in 2023 Pratt &amp; Whitney determined that a rare condition in powder metal used to manufacture certain engine parts requires accelerated inspection of the PW1100 GTF fleet, which powers the A320neo family of aircraft. This determination and corresponding fleet actions have resulted in, and are expected to continue to result in, significant incremental shop visits necessary to perform inspections on PW1100 GTF engines as compared to estimates prior to this determination. Actual and future estimated aircraft on ground levels for the A320neo family of aircraft have therefore increased. The expected financial impact of the powder metal issue is based on historical experience and is subject to various assumptions and judgments, including, without limitation, the number and expected timing of shop visits, inspection results and scope of work to be performed, turnaround time, availability of parts, available capacity at overhaul facilities, and outcomes of negotiations with impacted customers, and these assumptions are subject to variability. Because of the significance of management’s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pStyle w:val="TextBody"/>
        <w:bidi w:val="0"/>
        <w:spacing w:lineRule="auto" w:line="288" w:before="120" w:after="283"/>
        <w:jc w:val="both"/>
        <w:rPr/>
      </w:pPr>
      <w:r>
        <w:rPr>
          <w:rFonts w:ascii="Times New Roman;serif" w:hAnsi="Times New Roman;serif"/>
          <w:b/>
          <w:i/>
          <w:color w:val="000000"/>
          <w:sz w:val="20"/>
        </w:rPr>
        <w:t xml:space="preserve">Significant changes in key estimates and assumptions with respect to our retirement plans, such as discount rate, expected return on plan assets (EROA), and other actuarial factors, could affect our future earnings, equity, and pension contributions. </w:t>
      </w:r>
      <w:r>
        <w:rPr>
          <w:rFonts w:ascii="Times New Roman;serif" w:hAnsi="Times New Roman;serif"/>
          <w:b w:val="false"/>
          <w:color w:val="000000"/>
          <w:sz w:val="20"/>
        </w:rPr>
        <w:t>We must determine our pension and other postretirement benefit plans’ expense or income, which involves significant judgment particularly with respect to our discount rate, EROA, and other actuarial assumptions. These assumptions are evaluated annually at December 31 and when significant events require a mid-year remeasurement. They may change significantly due to changes in economic, legislative, regulatory, and/or demographic experience or circumstances. Changes in our assumptions or actual experience that differs from these assumptions, as well as management changes to retirement plans, could impact our pension and postretirement net periodic (income) expense, the plans’ funded status, and/or the required cash contributions to such plans, which could negatively impact our results of operations, financial condition, or liquidity. Our plan assets are invested in accordance with our investment management objectives and are subject to market volatility and other conditions.</w:t>
      </w:r>
    </w:p>
    <w:p>
      <w:pPr>
        <w:pStyle w:val="TextBody"/>
        <w:bidi w:val="0"/>
        <w:spacing w:lineRule="auto" w:line="288" w:before="120" w:after="283"/>
        <w:jc w:val="both"/>
        <w:rPr/>
      </w:pPr>
      <w:r>
        <w:rPr>
          <w:rFonts w:ascii="Times New Roman;serif" w:hAnsi="Times New Roman;serif"/>
          <w:b/>
          <w:i/>
          <w:color w:val="000000"/>
          <w:sz w:val="20"/>
        </w:rPr>
        <w:t xml:space="preserve">Additional tax expense or exposures could affect our future profitability. </w:t>
      </w:r>
      <w:r>
        <w:rPr>
          <w:rFonts w:ascii="Times New Roman;serif" w:hAnsi="Times New Roman;serif"/>
          <w:b w:val="false"/>
          <w:color w:val="000000"/>
          <w:sz w:val="20"/>
        </w:rPr>
        <w:t xml:space="preserve">We are subject to income taxes in the United States and international jurisdictions. Significant judgment is required in determining our worldwide provision for income taxes. In the ordinary course of our business, there are transactions and calculations where the ultimate tax determination is uncertain. Changes in tax laws and regulations, as well as changes and conflicts in related interpretations and other tax guidance, and fluctuations in taxable income could materially impact our tax receivables and liabilities and our deferred tax assets and deferred tax liabilities, as well as our income tax expense and tax payments. Additionally, in the ordinary course of business, we are subject to examinations by various tax authorities. In addition to ongoing examinations, there could be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examinations launched in the future by governmental authorities in various jurisdictions, and existing examinations could be expanded. The final determination of tax audits and any related litigation could be materially different from our historical income tax provisions and accruals. Additionally, changes in the geographic mix of our sales could impact our tax liabilities and affect our income tax expense and profitability. The global and diverse nature of our operations means that these risks will continue to exist and additional examinations, proceedings, and contingencies will arise from time to time. Our results of operations, financial condition, or liquidity could be negatively impacted by any of the above factors, the outcome of any one of which cannot be predicted with certainty.</w:t>
      </w:r>
    </w:p>
    <w:p>
      <w:pPr>
        <w:pStyle w:val="TextBody"/>
        <w:bidi w:val="0"/>
        <w:spacing w:lineRule="auto" w:line="288" w:before="120" w:after="120"/>
        <w:jc w:val="both"/>
        <w:rPr/>
      </w:pPr>
      <w:r>
        <w:rPr>
          <w:rFonts w:ascii="Times New Roman;serif" w:hAnsi="Times New Roman;serif"/>
          <w:b/>
          <w:i/>
          <w:color w:val="000000"/>
          <w:sz w:val="20"/>
        </w:rPr>
        <w:t xml:space="preserve">Goodwill and other intangible assets represent a significant portion of our assets, and any impairment of these assets could negatively impact our results of operations and financial condition. </w:t>
      </w:r>
      <w:r>
        <w:rPr>
          <w:rFonts w:ascii="Times New Roman;serif" w:hAnsi="Times New Roman;serif"/>
          <w:b w:val="false"/>
          <w:color w:val="000000"/>
          <w:sz w:val="20"/>
        </w:rPr>
        <w:t>A significant portion of our assets consists of goodwill and other intangible assets, primarily recorded as the result of historical acquisitions or investments in businesses. We may subsequently experience unforeseen events that could adversely affect the value of our goodwill or intangible assets. Our goodwill and indefinite-lived intangible assets are subject to an impairment test annually and are also tested for impairment whenever facts and circumstances indicate that goodwill or indefinite-lived intangible assets may be impaired. In the event of an impairment, any excess of the carrying value of these assets over the fair value must be written off in the period of determination. Finite-lived intangible assets are generally amortized over the useful life of such assets. Future determinations of significant impairments of goodwill or indefinite-lived intangible assets as a result of an impairment test or accelerated amortization of finite-lived intangible assets could have a negative impact on our results of operations and financial condition.</w:t>
      </w:r>
    </w:p>
    <w:p>
      <w:pPr>
        <w:pStyle w:val="TextBody"/>
        <w:bidi w:val="0"/>
        <w:spacing w:lineRule="auto" w:line="288" w:before="120" w:after="120"/>
        <w:jc w:val="both"/>
        <w:rPr/>
      </w:pPr>
      <w:r>
        <w:rPr>
          <w:rFonts w:ascii="Times New Roman;serif" w:hAnsi="Times New Roman;serif"/>
          <w:b/>
          <w:i/>
          <w:color w:val="000000"/>
          <w:sz w:val="20"/>
        </w:rPr>
        <w:t>Quarterly cash dividends and share repurchases are subject to uncertainties and may affect our common stock price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Quarterly cash dividends and share repurchases under our share repurchase program generally constitute components of our capital allocation strategy, which we fund through a combination of operating free cash flow, borrowings, and proceeds from divestitures. However, we are not required to declare dividends or make any share repurchases under our share repurchase program. Dividends and share repurchases may be discontinued, accelerated, suspended, or delayed at any time without prior notice. Even if not discontinued, the amount of such dividends and repurchases may be changed, and the amount, timing, and frequency of such dividends and repurchases may vary from historical practice or from the company’s stated expectations. Decisions with respect to dividends and share repurchases are subject to the discretion of our Board of Directors and are based on a variety of factors. In addition, pursuant to a January 7, 2026 Executive Order, the Secretary of War could seek to limit our ability to pay cash dividends or make share repurchases if the Secretary of War determines that we have underperformed or lacked sufficient prioritization of, investment in or production speed in carrying out / performing under our U.S. government contracts. Other important factors that could cause us to discontinue, limit, suspend, increase, or delay our quarterly cash dividends or share repurchases include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the availability of domestic cash, and overall business expectations. The reduction or elimination of our cash dividend, or suspension or elimination of our share repurchase program could adversely affect the market price of our common stock. Additionally, there can be no assurance that any share repurchases will enhance shareowner value because the market price of our common stock may decline below the levels at which we repurchased shares of common stock, and short-term stock price fluctuations could reduce the program’s effectiveness.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Item 5. “Market for Registrant’s Common Equity, Related Stockholder Matters, and Issuer Purchases of Equity Securities” in this Form 10-K for a description of our share repurchase program and past share repurchases.</w:t>
      </w:r>
    </w:p>
    <w:p>
      <w:pPr>
        <w:pStyle w:val="TextBody"/>
        <w:bidi w:val="0"/>
        <w:spacing w:lineRule="auto" w:line="288" w:before="120" w:after="283"/>
        <w:jc w:val="both"/>
        <w:rPr/>
      </w:pPr>
      <w:r>
        <w:rPr>
          <w:rFonts w:ascii="Times New Roman;serif" w:hAnsi="Times New Roman;serif"/>
          <w:b/>
          <w:i/>
          <w:color w:val="000000"/>
          <w:sz w:val="20"/>
        </w:rPr>
        <w:t>We face certain significant risk exposures and potential liabilities that may not be adequately covered by indemnity or insurance.</w:t>
      </w:r>
      <w:r>
        <w:rPr>
          <w:color w:val="000000"/>
        </w:rPr>
        <w:t xml:space="preserve"> </w:t>
      </w:r>
      <w:r>
        <w:rPr>
          <w:rFonts w:ascii="Times New Roman;serif" w:hAnsi="Times New Roman;serif"/>
          <w:b w:val="false"/>
          <w:color w:val="000000"/>
          <w:sz w:val="20"/>
        </w:rPr>
        <w:t>A significant portion of our business relates to designing, developing, and manufacturing advanced aerospace, defense, and technology systems and products. New technologies may be untested or unproven. In addition, we may incur significant liabilities that are unique to our products and services. In some, but not all, circumstances, we may be entitled to indemnification from our customers through contractual provisions, and we may obtain limitations of liability and additional defenses for various reasons including the qualification of our products and services by the Department of Homeland Security under the SAFETY Act provisions of the Homeland Security Act of 2002.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and liquidity. Any accident, failure of, or defect in our products and services, even if fully indemnified or insured, could negatively affect our reputation among our customers and the public, and make it more difficult for us to compete effectively. It could also affect the cost and availability of insurance in the future.</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STRATEGIC INITIATIVE AND TRANSACTION RISKS</w:t>
      </w:r>
    </w:p>
    <w:p>
      <w:pPr>
        <w:pStyle w:val="TextBody"/>
        <w:bidi w:val="0"/>
        <w:spacing w:lineRule="auto" w:line="288" w:before="120" w:after="283"/>
        <w:jc w:val="both"/>
        <w:rPr/>
      </w:pPr>
      <w:r>
        <w:rPr>
          <w:rFonts w:ascii="Times New Roman;serif" w:hAnsi="Times New Roman;serif"/>
          <w:b/>
          <w:i/>
          <w:color w:val="000000"/>
          <w:sz w:val="20"/>
        </w:rPr>
        <w:t xml:space="preserve">We may be unable to realize expected benefits from strategic initiatives. </w:t>
      </w:r>
      <w:r>
        <w:rPr>
          <w:rFonts w:ascii="Times New Roman;serif" w:hAnsi="Times New Roman;serif"/>
          <w:b w:val="false"/>
          <w:color w:val="000000"/>
          <w:sz w:val="20"/>
        </w:rPr>
        <w:t>In order to operate more effectively and efficiently, from time to time we undertake strategic and other operational initiatives. For example, we are undergoing significant, multi-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year digital transformation initiatives to improve our business, modernize operations, and reduce costs. Under these initiatives, we are leveraging digital capabilities throughout the way in which we conduct our business and provide our products and services to customers, including how we design, build, and maintain our products and services and operate our facilities. We also use our Customer Oriented Results and Excellence (CORE) operating system to drive continuing improvement into our processes and facilities. In addition, we continue to invest in structural cost reduction in our facilities, including aligning work to more efficient manufacturing centers, implementing advanced manufacturing capabilities including digital initiatives and automation, and closing facilities that are not required to meet future capacity and work needs. Other initiatives include the pursuit of advanced technologies and new business acquisitions and subsequent integrations. For example, we continue to invest in the integration of artificial intelligence technologies into our processes and business operations. We also implement restructuring plans from time to time. Restructuring activities include or may result in reductions of the workforce, the number of global facilities, procurement costs, legal entity and operational reorganizations, and other cost reduction initiatives. These strategic activities are complex and require the investment of resources including in personnel and systems. If we do not successfully manage our current or future strategic initiatives, expected efficiencies and benefits might be delayed or not realized, and our operations and business could be disrupted. In addition, certain U.S. government contracts and programs have begun to require digital engineering and other digital capabilities, and our inability to achieve these capabilities with respect to these programs timely may result in loss of revenues. Risks associated with workforce management issues include unfavorable political responses to such actions, unforeseen delays in the implementation of anticipated workforce reductions, additional unexpected costs, adverse effects on employee morale, and the failure to meet operational targets due to the loss of employees or work stoppages. Any of the above factors may impair our ability to achieve anticipated benefits, or otherwise harm our business, or have a material adverse effect 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i/>
          <w:color w:val="000000"/>
          <w:sz w:val="20"/>
        </w:rPr>
        <w:t xml:space="preserve">Failure to successfully manage and execute potential future acquisitions, investments, divestitures, joint ventures, and other transactions, and other risks associated with these activities could adversely affect our future financial results. </w:t>
      </w:r>
      <w:r>
        <w:rPr>
          <w:rFonts w:ascii="Times New Roman;serif" w:hAnsi="Times New Roman;serif"/>
          <w:b w:val="false"/>
          <w:color w:val="000000"/>
          <w:sz w:val="20"/>
        </w:rPr>
        <w:t xml:space="preserve">In pursuing our business strategies, we continually review, evaluate, and consider potential investments, acquisitions, divestitures, joint ventures, and other teaming and collaborative arrangements. We undertake to identify opportunities that will complement our existing products and services or customer base, as well as expand our offerings and business opportunities into new areas that naturally extend from our core capabilities. In evaluating such transactions, we are required to make difficult judgments regarding the value of business opportunities, technologies, and other assets, and the risks and cost of potential liabilities. Further, these transactions involve certain other risks and uncertainties including: (1) the risks involved with entering new markets; (2) the difficulty in integrating newly-acquired businesses and managing or monitoring other collaborative business arrangements; (3) the complexity of separating a portion of our business to enable a divestiture; (4) the risk that we may be unable to execute potential transactions, if at all, within the expected timeline, on acceptable financial or other terms and conditions; (5) continued financial involvement in divested businesses, such as through continued equity ownership, guarantees, retained assets or liabilities, transition services or other ongoing commercial commitments, indemnities, or other current or contingent financial or commercial commitments, following a divestiture; (6) challenges and failures in achieving strategic objectives and other expected benefits, which may result in certain liabilities to us for guarantees and other commitments; (7) the risk that regulatory authorities may deny our proposed transactions, or may impose on those transactions conditions that undermine the strategic rationale, reduce the financial benefit of, or jeopardize the consummation of those transactions; (8) unidentified issues not discovered in RTX’s due diligence; (9) the diversion of our attention and resources from our operations and other initiatives; (10) the potential impairment of acquired assets; (11) the performance of underlying products, capabilities, or technologies; and (12) the performance or potential loss of key employees and customers of acquired businesses. In addition, future transactions may impact our deployment of capital, including dividends, share repurchases, pension contributions, and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global aerospace and defense company serving commercial and government customers in the aerospace industry and domestic and international military and government customers as a defense contractor, we are the target of advanced and persistent cyber-attacks from a variety of sources. Our products and services are highly sophisticated and specialized, involve complex advanced technologies including information technology (IT) systems, and process, store, or transmit highly sensitive unclassified and classified information. Moreover, our products and services are often integrated with third-party products and services. Cybersecurity threats include attacks on, or other attempts to infiltrate, our IT infrastructure and the IT infrastructure of our customers, suppliers, subcontractors, and other third parties, attempting to gain unauthorized access to our confidential or other proprietary information, classified information, or information relating to our employees, customers, and other third parties, or to disrupt our systems or the systems of our customers, suppliers, subcontractors, and other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threats also include attempts to infiltrate our products or services, such as attacks targeting the security, confidentiality, integrity or availability of the hardware, software and information installed, stored, or transmitted in our products, which may occur after the purchase of those products or when they are incorporated into third-party products, facilities, or infrastructure.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Cybersecurity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and the cybersecurity risks we face, we have a robust cybersecurity program for identifying, assessing, and managing cybersecurity risks, which include material risks from cybersecurity threats, to our internal systems, our products, services and programs for customers, and our supply chain. Our cybersecurity program is made up of two components: our enterprise cybersecurity program and our cybersecurity program for our products and services.</w:t>
      </w:r>
    </w:p>
    <w:p>
      <w:pPr>
        <w:pStyle w:val="TextBody"/>
        <w:bidi w:val="0"/>
        <w:spacing w:lineRule="auto" w:line="288" w:before="120" w:after="283"/>
        <w:jc w:val="both"/>
        <w:rPr/>
      </w:pPr>
      <w:r>
        <w:rPr>
          <w:rFonts w:ascii="Times New Roman;serif" w:hAnsi="Times New Roman;serif"/>
          <w:b/>
          <w:color w:val="000000"/>
          <w:sz w:val="20"/>
        </w:rPr>
        <w:t xml:space="preserve">Enterprise Cybersecurity. </w:t>
      </w:r>
      <w:r>
        <w:rPr>
          <w:rFonts w:ascii="Times New Roman;serif" w:hAnsi="Times New Roman;serif"/>
          <w:b w:val="false"/>
          <w:color w:val="000000"/>
          <w:sz w:val="20"/>
        </w:rPr>
        <w:t xml:space="preserve">Our enterprise cybersecurity program aligns with the National Institute of Standards and Technology (NIST) standards. Our program includes processes and controls for the deployment of new IT systems by the Company and controls over new and existing system operation. We monitor and conduct regular testing of these controls and systems, including vulnerability management through active discovery and testing to regularly assess patching and configuration status. In addition, we require our employees and contract workers to complete annual cybersecurity training, and we regularly conduct simulated phishing and cyber-related communications to educate individuals on the latest threats. </w:t>
      </w:r>
    </w:p>
    <w:p>
      <w:pPr>
        <w:pStyle w:val="TextBody"/>
        <w:bidi w:val="0"/>
        <w:spacing w:lineRule="auto" w:line="288" w:before="120" w:after="283"/>
        <w:jc w:val="both"/>
        <w:rPr/>
      </w:pPr>
      <w:r>
        <w:rPr>
          <w:rFonts w:ascii="Times New Roman;serif" w:hAnsi="Times New Roman;serif"/>
          <w:b/>
          <w:color w:val="000000"/>
          <w:sz w:val="20"/>
        </w:rPr>
        <w:t xml:space="preserve">Product and Services Cybersecurity. </w:t>
      </w:r>
      <w:r>
        <w:rPr>
          <w:rFonts w:ascii="Times New Roman;serif" w:hAnsi="Times New Roman;serif"/>
          <w:b w:val="false"/>
          <w:color w:val="000000"/>
          <w:sz w:val="20"/>
        </w:rPr>
        <w:t>Our product development processes apply development, security, and operations principles aligned with applicable government and commercial standards, and include vulnerability scanning and static and dynamic composition analysis. We regularly assess our product development processes, product cyber maturity, and the teams providing our secure services in relation to cybersecurity. In addition, we strive to meet all security requirements mandated by government and commercial customers and adhere to regulatory guidance and standards for system security engineering. Many of our products also undergo industry audits and regulatory compliance certifications, and our products delivered to the U.S. Department of War (DoW) (formerly referred to as the U.S. Department of Defense) must comply with DoW risk management requirements.</w:t>
      </w:r>
    </w:p>
    <w:p>
      <w:pPr>
        <w:pStyle w:val="TextBody"/>
        <w:bidi w:val="0"/>
        <w:spacing w:lineRule="auto" w:line="288" w:before="120" w:after="283"/>
        <w:jc w:val="both"/>
        <w:rPr/>
      </w:pPr>
      <w:r>
        <w:rPr>
          <w:rFonts w:ascii="Times New Roman;serif" w:hAnsi="Times New Roman;serif"/>
          <w:b/>
          <w:color w:val="000000"/>
          <w:sz w:val="20"/>
        </w:rPr>
        <w:t>Cybersecurity for Systems used in Support of U.S. Government Customers.</w:t>
      </w:r>
      <w:r>
        <w:rPr>
          <w:color w:val="000000"/>
        </w:rPr>
        <w:t xml:space="preserve"> </w:t>
      </w:r>
      <w:r>
        <w:rPr>
          <w:rFonts w:ascii="Times New Roman;serif" w:hAnsi="Times New Roman;serif"/>
          <w:b w:val="false"/>
          <w:color w:val="000000"/>
          <w:sz w:val="20"/>
        </w:rPr>
        <w:t>With respect to products and services provided to, and IT systems used in connection with programs for, the U.S. government, our cybersecurity program aligns with the NIST standards and meets the requirements of 32 CFR Part 117 and other applicable U.S. government guidance. The program includes authorization and assessment of new and existing IT systems by our customers and third parties. We monitor use on these systems, including vulnerability management through patching and configuration. In addition, we restrict user access and require authorized users to complete additional user and cybersecurity training.</w:t>
      </w:r>
    </w:p>
    <w:p>
      <w:pPr>
        <w:pStyle w:val="TextBody"/>
        <w:bidi w:val="0"/>
        <w:spacing w:lineRule="auto" w:line="288" w:before="120" w:after="283"/>
        <w:jc w:val="both"/>
        <w:rPr/>
      </w:pPr>
      <w:r>
        <w:rPr>
          <w:rFonts w:ascii="Times New Roman;serif" w:hAnsi="Times New Roman;serif"/>
          <w:b/>
          <w:color w:val="000000"/>
          <w:sz w:val="20"/>
        </w:rPr>
        <w:t xml:space="preserve">Incident Response. </w:t>
      </w:r>
      <w:r>
        <w:rPr>
          <w:rFonts w:ascii="Times New Roman;serif" w:hAnsi="Times New Roman;serif"/>
          <w:b w:val="false"/>
          <w:color w:val="000000"/>
          <w:sz w:val="20"/>
        </w:rPr>
        <w:t xml:space="preserve">Our cybersecurity program includes monitoring for potential security threats that may lead to exploitation of vulnerabilities. We evaluate and assign severity levels to incidents, escalate and engage incident response teams based on severity, and manage and mitigate the related risks. Incidents are reported internally to members of senior management and the Board of Directors as appropriate based on severity and incident type and are also analyzed for external reporting requirements. Our incident management process is designed to coordinate functions to enable continuity of essential business operation in the event of a cyber crisis. </w:t>
      </w:r>
    </w:p>
    <w:p>
      <w:pPr>
        <w:pStyle w:val="TextBody"/>
        <w:bidi w:val="0"/>
        <w:spacing w:lineRule="auto" w:line="288" w:before="120" w:after="283"/>
        <w:jc w:val="both"/>
        <w:rPr/>
      </w:pPr>
      <w:r>
        <w:rPr>
          <w:rFonts w:ascii="Times New Roman;serif" w:hAnsi="Times New Roman;serif"/>
          <w:b/>
          <w:color w:val="000000"/>
          <w:sz w:val="20"/>
        </w:rPr>
        <w:t xml:space="preserve">Third-Party Service Providers. </w:t>
      </w:r>
      <w:r>
        <w:rPr>
          <w:rFonts w:ascii="Times New Roman;serif" w:hAnsi="Times New Roman;serif"/>
          <w:b w:val="false"/>
          <w:color w:val="000000"/>
          <w:sz w:val="20"/>
        </w:rPr>
        <w:t>We engage third party service providers to expand the capabilities and capacity of our cybersecurity program, including for design, monitoring, and testing of the program’s risk prevention and protection measures, and process execution including incident detection, investigation, analysis and response, eradication, and recovery.</w:t>
      </w:r>
    </w:p>
    <w:p>
      <w:pPr>
        <w:pStyle w:val="TextBody"/>
        <w:bidi w:val="0"/>
        <w:spacing w:lineRule="auto" w:line="288" w:before="120" w:after="283"/>
        <w:jc w:val="both"/>
        <w:rPr/>
      </w:pPr>
      <w:r>
        <w:rPr>
          <w:rFonts w:ascii="Times New Roman;serif" w:hAnsi="Times New Roman;serif"/>
          <w:b/>
          <w:color w:val="000000"/>
          <w:sz w:val="20"/>
        </w:rPr>
        <w:t xml:space="preserve">Management of Third-Party Risks. </w:t>
      </w:r>
      <w:r>
        <w:rPr>
          <w:rFonts w:ascii="Times New Roman;serif" w:hAnsi="Times New Roman;serif"/>
          <w:b w:val="false"/>
          <w:color w:val="000000"/>
          <w:sz w:val="20"/>
        </w:rPr>
        <w:t xml:space="preserve">Our suppliers, subcontractors, and other third-party service providers are subject to cybersecurity obligations and controls. We assess and periodically reassess the cybersecurity posture of third-party service providers who store, process, or transmit our information as a service, or connect to our networks. We also require our suppliers, subcontractors, and other third-party service providers to agree to cybersecurity-related contractual terms and conditions of purchase. Many of these third parties are also subject to regulatory requirements in mandatory government procurement clauses, including those contained in the Federal Acquisition Regulation (FAR) and the Defense Federal Acquisition Regulation Supplement (DFARS). Among other things, mandatory government procurement clauses obligate adherence to a generally accepted cybersecurity framework, such as NIST, and occasional assessment of the implementation of cybersecurity controls as a condition of contract award or during contract performance. Finally, we require these third parties to notify us of cybersecurity incidents that impact us. </w:t>
      </w:r>
    </w:p>
    <w:p>
      <w:pPr>
        <w:pStyle w:val="TextBody"/>
        <w:bidi w:val="0"/>
        <w:spacing w:lineRule="auto" w:line="288" w:before="120" w:after="283"/>
        <w:jc w:val="both"/>
        <w:rPr/>
      </w:pPr>
      <w:r>
        <w:rPr>
          <w:rFonts w:ascii="Times New Roman;serif" w:hAnsi="Times New Roman;serif"/>
          <w:b/>
          <w:color w:val="000000"/>
          <w:sz w:val="20"/>
        </w:rPr>
        <w:t xml:space="preserve">Program Assessment. </w:t>
      </w:r>
      <w:r>
        <w:rPr>
          <w:rFonts w:ascii="Times New Roman;serif" w:hAnsi="Times New Roman;serif"/>
          <w:b w:val="false"/>
          <w:color w:val="000000"/>
          <w:sz w:val="20"/>
        </w:rPr>
        <w:t xml:space="preserve">We continuously evaluate and seek to improve and mature our cybersecurity processes. Our cybersecurity program is regularly assessed through management self-evaluation and ongoing monitoring procedures to evaluate our program effectiveness, including assessments associated with internal controls over financial reporting as well as vulnerability management through active discovery and testing to validate patching and configuration. Additionally, our Internal Audit function regularly assesses our program effectiveness through audits of our systems and processes to help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maintain compliance with policies. As cybersecurity threats are continuously evolving, we also periodically engage with third parties to perform maturity assessments of our program to identify potential risk areas and improvement opportunities. This includes assessment of our overall program, policies and processes, compliance with regulatory requirements, and assessment of key vulnerabilities. We use these assessments to supplement our own evaluation of the overall health of our program and target improvement areas. Several external organizations also evaluate our enterprise cybersecurity program, including the Defense Contract Management Agency (DCMA) and Cybersecurity Maturity Model Certification Third-Party Assessment Organizations. Moreover, some of our products are audited or reviewed for regulatory compliance certification pursuant to the relevant DoW risk management framework.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Board Oversight and Management’s Role</w:t>
      </w:r>
    </w:p>
    <w:p>
      <w:pPr>
        <w:pStyle w:val="TextBody"/>
        <w:bidi w:val="0"/>
        <w:spacing w:lineRule="auto" w:line="288" w:before="120" w:after="283"/>
        <w:jc w:val="both"/>
        <w:rPr/>
      </w:pPr>
      <w:r>
        <w:rPr>
          <w:rFonts w:ascii="Times New Roman;serif" w:hAnsi="Times New Roman;serif"/>
          <w:b/>
          <w:color w:val="000000"/>
          <w:sz w:val="20"/>
        </w:rPr>
        <w:t>Enterprise Cybersecurity.</w:t>
      </w:r>
      <w:r>
        <w:rPr>
          <w:color w:val="000000"/>
        </w:rPr>
        <w:t xml:space="preserve"> </w:t>
      </w:r>
      <w:r>
        <w:rPr>
          <w:rFonts w:ascii="Times New Roman;serif" w:hAnsi="Times New Roman;serif"/>
          <w:b w:val="false"/>
          <w:color w:val="000000"/>
          <w:sz w:val="20"/>
        </w:rPr>
        <w:t xml:space="preserve">Our Board of Directors has primary oversight responsibility for enterprise cybersecurity risks. The Special Activities Committee of the Board supports the Board in oversight of classified business cybersecurity, including with respect to Company internal information and operational technology systems. The Audit Committee also considers enterprise cybersecurity risks in connection with its financial and compliance risk oversight role.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global chief information security officer (CISO), under the direction of our chief digital officer, leads our enterprise cybersecurity program and is responsible for assessing and managing enterprise cybersecurity risks. Our CISO regularly updates the Board of Directors on cybersecurity risks as they relate to our information and operational technology systems, our suppliers, and other third-party service providers, in addition to updates on enterprise cybersecurity incidents and key Company defenses and mitigation strategies.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CISO is an experienced cybersecurity senior executive with more than 25 years’ experience building and leading cybersecurity, risk management, and IT teams. In performing his role, he regularly reviews enterprise cybersecurity risks, controls, program policy, and processes, including training, oversees policy and program development, implementation and updates, and informs senior leadership on cybersecurity-related issues and activities affecting the organization. Our CISO is regularly apprised of enterprise cybersecurity events, threats, and activities, including with respect to incidents, protection vulnerabilities, software update needs, and lifecycle status.</w:t>
      </w:r>
    </w:p>
    <w:p>
      <w:pPr>
        <w:pStyle w:val="TextBody"/>
        <w:bidi w:val="0"/>
        <w:spacing w:lineRule="auto" w:line="288" w:before="120" w:after="283"/>
        <w:jc w:val="both"/>
        <w:rPr/>
      </w:pPr>
      <w:r>
        <w:rPr>
          <w:rFonts w:ascii="Times New Roman;serif" w:hAnsi="Times New Roman;serif"/>
          <w:b/>
          <w:color w:val="000000"/>
          <w:sz w:val="20"/>
        </w:rPr>
        <w:t xml:space="preserve">Product and Services Cybersecurity. </w:t>
      </w:r>
      <w:r>
        <w:rPr>
          <w:rFonts w:ascii="Times New Roman;serif" w:hAnsi="Times New Roman;serif"/>
          <w:b w:val="false"/>
          <w:color w:val="000000"/>
          <w:sz w:val="20"/>
        </w:rPr>
        <w:t>The Special Activities Committee of our Board of Directors has primary oversight responsibility for cybersecurity risks related to our products and services. The full Board of Directors also receives periodic briefings from management regarding the Company’s products and services cybersecurity risks. The Audit Committee also considers product and services cybersecurity risks in connection with its financial and compliance risk oversight role.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product cybersecurity officer (PCO), under the direction of our chief technology officer, leads our cybersecurity program for our products and services and is responsible for assessing and managing related cybersecurity risks. Our PCO updates the Special Activities Committee on cybersecurity risks as they relate to our products and services, in addition to updates on product and service cybersecurity incidents, defenses, and mitigation strategies.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PCO is an experienced embedded systems engineer and chief engineer with 20 years’ experience in the development, product assurance, and security of critical and highly regulated embedded and other computer systems in medical, aviation, and military products and services. In performing her role, she regularly reviews cybersecurity risks, controls, program policy and processes, including training, and oversees and advises teams performing policy and program development, implementation, and updates. Our PCO is regularly apprised of product and service cybersecurity events, threats, and activities including with respect to incidents, protection vulnerabilities, software update needs, and lifecycle status.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Enterprise Risk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risk processes are a key element of our Enterprise Risk Management (ERM) process, which is designed to identify and evaluate the full range of significant risks to RTX. As part of our ERM program, RTX’s functional and operations departments identify and manage enterprise risks on an annual cycle. The process consists of structured reviews, discussions, and mitigation planning, and includes risks identified by our Enterprise Cybersecurity and Product Cybersecurity functions as part of the overall review of significant risks to RTX. The top ERM risks are compiled annually and shared with the Audit Committee of the Board of Directors as well as the full Board of Directors. In addition, Internal Audit incorporates these risks into its continuous risk assessment process and periodically audits specific ERM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related to cybersecurity, see Item IA. “Risk Factors”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properties in approximately 25 countries, with approximately 450 significant properties comprising approximately 75 million square feet of productive space. Approximately 30% of our square footage related to our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properties is leased, and 70% is owned. Approximately 70% of our square footage related to our significant properties is located in the United States.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fixed assets as of December 31, 2025 include manufacturing facilities and non-manufacturing facilities such as warehouses, laboratories, office space, and a substantial quantity of machinery and equipment, including general purpose machinery and equipment using special jigs, tools, and fixtures and in many instances having automatic control features and special adaptations. The facilities, warehouses, machinery, and equipment in use as of December 31, 2025 are in good operating condition and are well-maintained.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lawsuits, investigations, and claims (some of which involve substantial amounts). For a discussion of contingencies related to certain legal proceedings, see “Note 17: Commitments and Contingencies” within Item 8 of this Form 10-K. Except as otherwise noted, while we are unable to predict the final outcome, based on information currently available, we do not believe that resolution of any of these matters will have a material adverse effect upon our competitive position,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further discussion of government contracts and related investigations, as well as a discussion of our environmental liabilities, can be found under the heading “Other Matters Relating to Our Business” within Item 1. “Business” of this Form 10-K and in Item 1A. “Risk Factors” of this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Securities and Exchange Commission (SEC) regulations, for proceedings under environmental laws to which a government authority is a party and we reasonably believe such proceedings will result in monetary sanctions, we have adopted a disclosure threshold of $1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Enforcement Proceeding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the CDPHE informed Raytheon Company that it was seeking a penalty in the amount of approximately $1 million in connection with the alleged violations and was requiring Raytheon Company to undertake a compliance program. In order to resolve the NOV/CDO, on October 6, 2025, Raytheon Company signed a Compliance Order on Consent (COC) with the CDPHE under which, without any admission of fault or liability, it agreed to pay $458,211 in civil penalties and to perform certain remediation work at the former facility under an agreed upon compliance schedule. Raytheon Company paid the civil penalties in the fourth quarter of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737 MAX Aircraft Litigation</w:t>
      </w:r>
    </w:p>
    <w:p>
      <w:pPr>
        <w:pStyle w:val="TextBody"/>
        <w:bidi w:val="0"/>
        <w:spacing w:lineRule="auto" w:line="288" w:before="120" w:after="283"/>
        <w:jc w:val="both"/>
        <w:rPr/>
      </w:pPr>
      <w:r>
        <w:rPr>
          <w:rFonts w:ascii="Times New Roman;serif" w:hAnsi="Times New Roman;serif"/>
          <w:b w:val="false"/>
          <w:color w:val="000000"/>
          <w:sz w:val="20"/>
        </w:rPr>
        <w:t>Multiple lawsuits were filed in U.S. courts relating to the October 29, 2018 Lion Air Flight 610 and the March 10, 2019 Ethiopian Airlines Flight 302 accidents. Collins Aerospace (Collins) sold certain aircraft parts and systems to The Boeing Company for the 737 MAX aircraft involved in these accidents. Certain of our Collins businesses were named, along with other third parties, as parties in many of these lawsuits. All lawsuits related to the Lion Air flight have been resolved, and the Collins businesses have obtained a full release. Only one lawsuit related to the Ethiopian Airlines flight remains pending, and we anticipate during 2026 the lawsuit will either be resolved or the claims against the Collins businesses will be dismissed.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RTX Corporation’s common stock is listed on the New York Stock Exchange under the ticker symbol “RTX.” There were 35,327 registered shareowners at December 31, 2025. The information required by Item 5 with respect to securities authorized for issuance under equity compensation plans is contained within Item 12 of this Form 10-K.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graph presents the cumulative total shareowner return for the five years ending December 31, 2025 for our common stock as compared to the Standard &amp; Poor’s 500 Stock Index and the S&amp;P 500 Aerospace &amp; Defense (A&amp;D) Index. These figures assume that all dividends paid over the five-year period were reinvested, and that the starting value of each index and the investment in common stock was $100.00 on December 31, 2020.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Comparison of Cumulative Five Year Total Return</w:t>
      </w:r>
    </w:p>
    <w:tbl>
      <w:tblPr>
        <w:tblW w:w="9295" w:type="dxa"/>
        <w:jc w:val="left"/>
        <w:tblInd w:w="0" w:type="dxa"/>
        <w:tblLayout w:type="fixed"/>
        <w:tblCellMar>
          <w:top w:w="28" w:type="dxa"/>
          <w:left w:w="28" w:type="dxa"/>
          <w:bottom w:w="28" w:type="dxa"/>
          <w:right w:w="28" w:type="dxa"/>
        </w:tblCellMar>
      </w:tblPr>
      <w:tblGrid>
        <w:gridCol w:w="1182"/>
        <w:gridCol w:w="968"/>
        <w:gridCol w:w="970"/>
        <w:gridCol w:w="308"/>
        <w:gridCol w:w="308"/>
        <w:gridCol w:w="306"/>
        <w:gridCol w:w="109"/>
        <w:gridCol w:w="109"/>
        <w:gridCol w:w="109"/>
        <w:gridCol w:w="344"/>
        <w:gridCol w:w="346"/>
        <w:gridCol w:w="306"/>
        <w:gridCol w:w="109"/>
        <w:gridCol w:w="109"/>
        <w:gridCol w:w="109"/>
        <w:gridCol w:w="344"/>
        <w:gridCol w:w="346"/>
        <w:gridCol w:w="306"/>
        <w:gridCol w:w="109"/>
        <w:gridCol w:w="109"/>
        <w:gridCol w:w="109"/>
        <w:gridCol w:w="308"/>
        <w:gridCol w:w="308"/>
        <w:gridCol w:w="306"/>
        <w:gridCol w:w="109"/>
        <w:gridCol w:w="109"/>
        <w:gridCol w:w="109"/>
        <w:gridCol w:w="315"/>
        <w:gridCol w:w="316"/>
        <w:gridCol w:w="400"/>
      </w:tblGrid>
      <w:tr>
        <w:trPr/>
        <w:tc>
          <w:tcPr>
            <w:tcW w:w="118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Return Percentage</w:t>
              <w:br/>
              <w:t>Years Ending</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Company/Index</w:t>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12/31/2025</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61.44</w:t>
            </w: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w:t>
            </w: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Aerospace &amp; Defense Index</w:t>
            </w:r>
          </w:p>
        </w:tc>
        <w:tc>
          <w:tcPr>
            <w:tcW w:w="61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3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3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3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3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w:t>
            </w:r>
            <w:r>
              <w:rPr>
                <w:color w:val="000000"/>
              </w:rPr>
              <w:t> </w:t>
            </w:r>
          </w:p>
        </w:tc>
        <w:tc>
          <w:tcPr>
            <w:tcW w:w="40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6"/>
        <w:gridCol w:w="651"/>
        <w:gridCol w:w="654"/>
        <w:gridCol w:w="241"/>
        <w:gridCol w:w="826"/>
        <w:gridCol w:w="12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57"/>
      </w:tblGrid>
      <w:tr>
        <w:trPr/>
        <w:tc>
          <w:tcPr>
            <w:tcW w:w="80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Indexed Returns</w:t>
              <w:br/>
              <w:t>Years Ending</w:t>
            </w:r>
          </w:p>
        </w:tc>
      </w:tr>
      <w:tr>
        <w:trPr/>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Company/Index</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Base Period 12/31/2020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12/31/2025</w:t>
            </w:r>
          </w:p>
        </w:tc>
      </w:tr>
      <w:tr>
        <w:trPr/>
        <w:tc>
          <w:tcPr>
            <w:tcW w:w="2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Common Stock</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287.64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Aerospace &amp; Defense Index</w:t>
            </w:r>
          </w:p>
        </w:tc>
        <w:tc>
          <w:tcPr>
            <w:tcW w:w="106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230.45</w:t>
            </w:r>
            <w:r>
              <w:rPr>
                <w:color w:val="000000"/>
              </w:rPr>
              <w:t> </w:t>
            </w:r>
          </w:p>
        </w:tc>
        <w:tc>
          <w:tcPr>
            <w:tcW w:w="15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drawing>
          <wp:inline distT="0" distB="0" distL="0" distR="0">
            <wp:extent cx="6515100" cy="31718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515100" cy="3171825"/>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purchases of equity securities that are registered by us pursuant to Section 12 of the Exchange Act during the quarter ended December 31, 2025.</w:t>
      </w:r>
    </w:p>
    <w:tbl>
      <w:tblPr>
        <w:tblW w:w="10205" w:type="dxa"/>
        <w:jc w:val="left"/>
        <w:tblInd w:w="0" w:type="dxa"/>
        <w:tblLayout w:type="fixed"/>
        <w:tblCellMar>
          <w:top w:w="28" w:type="dxa"/>
          <w:left w:w="28" w:type="dxa"/>
          <w:bottom w:w="28" w:type="dxa"/>
          <w:right w:w="28" w:type="dxa"/>
        </w:tblCellMar>
      </w:tblPr>
      <w:tblGrid>
        <w:gridCol w:w="607"/>
        <w:gridCol w:w="412"/>
        <w:gridCol w:w="415"/>
        <w:gridCol w:w="109"/>
        <w:gridCol w:w="109"/>
        <w:gridCol w:w="109"/>
        <w:gridCol w:w="455"/>
        <w:gridCol w:w="455"/>
        <w:gridCol w:w="456"/>
        <w:gridCol w:w="109"/>
        <w:gridCol w:w="109"/>
        <w:gridCol w:w="109"/>
        <w:gridCol w:w="338"/>
        <w:gridCol w:w="652"/>
        <w:gridCol w:w="175"/>
        <w:gridCol w:w="109"/>
        <w:gridCol w:w="109"/>
        <w:gridCol w:w="109"/>
        <w:gridCol w:w="764"/>
        <w:gridCol w:w="764"/>
        <w:gridCol w:w="766"/>
        <w:gridCol w:w="109"/>
        <w:gridCol w:w="109"/>
        <w:gridCol w:w="109"/>
        <w:gridCol w:w="479"/>
        <w:gridCol w:w="1060"/>
        <w:gridCol w:w="247"/>
        <w:gridCol w:w="247"/>
        <w:gridCol w:w="247"/>
        <w:gridCol w:w="358"/>
      </w:tblGrid>
      <w:tr>
        <w:trPr/>
        <w:tc>
          <w:tcPr>
            <w:tcW w:w="6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Program</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br/>
              <w:t>(dollars in millions)</w:t>
            </w:r>
          </w:p>
        </w:tc>
      </w:tr>
      <w:tr>
        <w:trPr/>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October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reacquire shares outside of the program in connection with the surrender of shares to cover taxes on vesting of restricted stock. Our ability to repurchase shares is subject to applicable law. During the quarter ended December 31, 2025, we did not repurchase shares outside of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Management’s Discussion and Analysis of Financial Condition and Results of Operations (MD&amp;A) is intended to provide information to the reader in understanding our consolidated financial statements and notes thereto included in Item 8. “Financial Statements and Supplementary Data” of this Form 10-K, the changes in certain key items in those financial statements between select periods, and the primary factors that accounted for those changes. In addition, we discuss certain accounting principles, policies, and critical estimates that affect our financial statements. Our discussion also contains some additional context regarding our business, including industry considerations and the business environment, as well as certain forward-looking statements related to future events and expectations. This MD&amp;A should be read in conjunction with the other sections of this Form 10-K, including Item 1A. “Risk Factors.”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premier systems provider of high technology products and services to the aerospace and defense industries. We operate in three principal business segments: Collins Aerospace (Collins), Pratt &amp; Whitney, and Raytheon. Unless the context otherwise requires, the terms “we,” “our,” “us,” “the Company,” and “RTX” mean RTX Corporation and its subsidiaries. </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Industry Considerations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operations are affected by U.S. Department of War (DoW) (formerly referred to as the U.S. Department of Defense)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conditions, changes in raw material and commodity prices and supply, labor availability and costs, inflation, interest rates, potential changes in U.S. government policy positions, including changes in DoW policies or priorities, geopolitical conflicts and strained intercountry relations, U.S. and non-U.S. tax law changes, foreign currency exchange rates, sanctions, tariffs, energy costs and supply, levels of air travel, the financial condition of commercial airlines, and the impact from natural disasters and weather conditions create uncertainties that could impact our businesses. </w:t>
      </w:r>
    </w:p>
    <w:p>
      <w:pPr>
        <w:pStyle w:val="TextBody"/>
        <w:bidi w:val="0"/>
        <w:spacing w:lineRule="auto" w:line="288" w:before="120" w:after="283"/>
        <w:jc w:val="both"/>
        <w:rPr/>
      </w:pPr>
      <w:r>
        <w:rPr>
          <w:rFonts w:ascii="Times New Roman;serif" w:hAnsi="Times New Roman;serif"/>
          <w:b/>
          <w:color w:val="000000"/>
          <w:sz w:val="20"/>
        </w:rPr>
        <w:t xml:space="preserve">Legal Matters. </w:t>
      </w:r>
      <w:r>
        <w:rPr>
          <w:rFonts w:ascii="Times New Roman;serif" w:hAnsi="Times New Roman;serif"/>
          <w:b w:val="false"/>
          <w:color w:val="000000"/>
          <w:sz w:val="20"/>
        </w:rPr>
        <w:t>As previously disclosed, in 2024 the Company resolved several outstanding legal matters, herein referred to as “Resolution of Certain Legal Matters.” See “Note 17: Commitments and Contingencies,” within Item 8 of this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As described further in</w:t>
      </w:r>
      <w:r>
        <w:rPr>
          <w:color w:val="000000"/>
        </w:rPr>
        <w:t xml:space="preserve"> “</w:t>
      </w:r>
      <w:r>
        <w:rPr>
          <w:rFonts w:ascii="Times New Roman;serif" w:hAnsi="Times New Roman;serif"/>
          <w:b w:val="false"/>
          <w:color w:val="000000"/>
          <w:sz w:val="20"/>
        </w:rPr>
        <w:t xml:space="preserve">Note 17: Commitments and Contingencies,” within Item 8 of this Form 10-K, in 2023, 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 </w:t>
      </w:r>
    </w:p>
    <w:p>
      <w:pPr>
        <w:pStyle w:val="TextBody"/>
        <w:bidi w:val="0"/>
        <w:spacing w:lineRule="auto" w:line="288" w:before="120" w:after="283"/>
        <w:jc w:val="both"/>
        <w:rPr/>
      </w:pPr>
      <w:r>
        <w:rPr>
          <w:rFonts w:ascii="Times New Roman;serif" w:hAnsi="Times New Roman;serif"/>
          <w:b/>
          <w:color w:val="000000"/>
          <w:sz w:val="20"/>
        </w:rPr>
        <w:t xml:space="preserve">Global Supply Chain. </w:t>
      </w:r>
      <w:r>
        <w:rPr>
          <w:rFonts w:ascii="Times New Roman;serif" w:hAnsi="Times New Roman;serif"/>
          <w:b w:val="false"/>
          <w:color w:val="000000"/>
          <w:sz w:val="20"/>
        </w:rPr>
        <w:t>We are dependent on a global supply chain and have experienced supply chain disruptions that resulted in delays and increased costs and adversely affected our performance. These disruptions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Furthermore, our suppliers and subcontractors have been impacted by these same issues. We have implemented actions and programs to mitigate some of the impacts but anticipate supply chain disruptions to continue.</w:t>
      </w:r>
    </w:p>
    <w:p>
      <w:pPr>
        <w:pStyle w:val="TextBody"/>
        <w:bidi w:val="0"/>
        <w:spacing w:lineRule="auto" w:line="288" w:before="120" w:after="283"/>
        <w:jc w:val="both"/>
        <w:rPr/>
      </w:pPr>
      <w:r>
        <w:rPr>
          <w:rFonts w:ascii="Times New Roman;serif" w:hAnsi="Times New Roman;serif"/>
          <w:b/>
          <w:color w:val="000000"/>
          <w:sz w:val="20"/>
        </w:rPr>
        <w:t>Economic Environment.</w:t>
      </w:r>
      <w:r>
        <w:rPr>
          <w:color w:val="000000"/>
        </w:rPr>
        <w:t xml:space="preserve"> </w:t>
      </w:r>
      <w:r>
        <w:rPr>
          <w:rFonts w:ascii="Times New Roman;serif" w:hAnsi="Times New Roman;serif"/>
          <w:b w:val="false"/>
          <w:color w:val="000000"/>
          <w:sz w:val="20"/>
        </w:rPr>
        <w:t>The inflationary environment has increased material and component prices, labor rates, and supplier costs and has negatively 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pStyle w:val="TextBody"/>
        <w:bidi w:val="0"/>
        <w:spacing w:lineRule="auto" w:line="288" w:before="120" w:after="283"/>
        <w:jc w:val="both"/>
        <w:rPr/>
      </w:pPr>
      <w:r>
        <w:rPr>
          <w:rFonts w:ascii="Times New Roman;serif" w:hAnsi="Times New Roman;serif"/>
          <w:b w:val="false"/>
          <w:color w:val="000000"/>
          <w:sz w:val="20"/>
        </w:rPr>
        <w:t>The global trade environment is highly dynamic. Since February 2025, the U.S. government has imposed tariffs on imports from all countries with which the U.S. engages in trade. In response, certain countries have announced, and in some cases imposed, tariffs, and non-tariff countermeasures on goods that are imported from the U.S.</w:t>
      </w:r>
      <w:r>
        <w:rPr>
          <w:color w:val="000000"/>
        </w:rPr>
        <w:t xml:space="preserve"> </w:t>
      </w:r>
      <w:r>
        <w:rPr>
          <w:rFonts w:ascii="Times New Roman;serif" w:hAnsi="Times New Roman;serif"/>
          <w:b w:val="false"/>
          <w:color w:val="000000"/>
          <w:sz w:val="20"/>
        </w:rPr>
        <w:t>Our businesses and suppliers import goods subject to U.S. imposed tariffs, as well as goods subject to counter tariffs imposed by other countries. 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2025 reflect our best estimate of the impact of the tariffs then in effect. As the duration, extent and enforceability of the tariffs and counter tariffs remain uncertain, we are continuing to evaluate the potential future impacts of the imposition of the announced tariffs to our business and financial condition.</w:t>
      </w:r>
      <w:r>
        <w:rPr>
          <w:color w:val="000000"/>
        </w:rPr>
        <w:t xml:space="preserve"> </w:t>
      </w:r>
      <w:r>
        <w:rPr>
          <w:rFonts w:ascii="Times New Roman;serif" w:hAnsi="Times New Roman;serif"/>
          <w:b w:val="false"/>
          <w:color w:val="000000"/>
          <w:sz w:val="20"/>
        </w:rPr>
        <w:t>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upon various factors, most notably, the scope of goods covered by tariffs, the value of our imports subject to tariffs, the rate of tariffs applied, the timing and duration of tariffs, the enforceability of tariffs and counter-tariffs,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pStyle w:val="TextBody"/>
        <w:bidi w:val="0"/>
        <w:spacing w:lineRule="auto" w:line="288" w:before="120" w:after="283"/>
        <w:jc w:val="both"/>
        <w:rPr/>
      </w:pPr>
      <w:r>
        <w:rPr>
          <w:rFonts w:ascii="Times New Roman;serif" w:hAnsi="Times New Roman;serif"/>
          <w:b/>
          <w:color w:val="000000"/>
          <w:sz w:val="20"/>
        </w:rPr>
        <w:t xml:space="preserve">U.S. Government’s Budget, Tax Legislation and Executive Orders. </w:t>
      </w:r>
      <w:r>
        <w:rPr>
          <w:rFonts w:ascii="Times New Roman;serif" w:hAnsi="Times New Roman;serif"/>
          <w:b w:val="false"/>
          <w:color w:val="000000"/>
          <w:sz w:val="20"/>
        </w:rPr>
        <w:t>On February 3, 2026, Congress passed and the President signed a spending package to end a U.S. government shutdown. The spending package funds the government through the end of the government’s fiscal year, with the exception of the Department of Homeland Security, which remains subject to a continuing resolution.</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“An Act to Provide for Reconciliation Pursuant to Title II of the H. Con. Res. 14” (the Act) was enacted. The Act provides for several corporate tax changes including, but not limited to, restoring full expensing of domestic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development costs, restoring immediate deductibility of certain capital expenditures, and changes in the computations of U.S. taxation on international earnings. See “Note 12: Income Taxes,” within Item 8 of this Form 10-K,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Act also provides a supplementary $156.2 billion to the DoW for obligations through 2029, which includes $24.4 billion for the Golden Dome for America project. The project, outlined in a January 27, 2025 Executive Order, calls for the development and deployment of a next-generation missile defense shield. On May 20, 2025, the DoW announced a draft architecture and implementation plan for the system. With next generation technologies across land, sea and space that build upon existing, proven defense capabilities, RTX’s portfolio is well-positioned to play a role in delivering reliable solutions for the Golden Dome for America initiative. Whether this Executive Order or corresponding funding will have a material impact on our business or results of operations will depend on a variety of factors, including actual awards, award timelines, mission priorities, and future budget determinations. The Act also includes $25.4 billion in funding to enhance DoW resources for munitions and supply chain resiliency. As a leading munitions manufacturer, RTX is strategically situated to play a key role in supporting this initiative.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President has also issued multiple executive orders, including one intended to reform the DoW’s defense acquisition processes and promote expedited and streamlined acquisitions. Following issuance of those orders, the Secretary of War issued a memorandum and released the DoW’s Acquisition Transformation Strategy, which is aligned with the executive orders and seeks to overhaul the existing defense acquisition system through process changes that prioritize speed, flexibility, and rigorous execution. A subsequent executive order was issued that may limit corporate distributions, share repurchases, and executive compensation incentives during periods of defense contractor underperformance, insufficient prioritization, investment or production speed under their U.S. Government contracts. We are monitoring how these executive orders and related actions will be implemented and any potential future impacts to our business. While those impacts are uncertain, a limitation on our ability to issue distributions or engage in share repurchases related to the defense contractor performance executive order could adversely affect the market price of our common stock.</w:t>
      </w:r>
    </w:p>
    <w:p>
      <w:pPr>
        <w:pStyle w:val="TextBody"/>
        <w:bidi w:val="0"/>
        <w:spacing w:lineRule="auto" w:line="288" w:before="120" w:after="283"/>
        <w:jc w:val="both"/>
        <w:rPr/>
      </w:pPr>
      <w:r>
        <w:rPr>
          <w:rFonts w:ascii="Times New Roman;serif" w:hAnsi="Times New Roman;serif"/>
          <w:b/>
          <w:color w:val="000000"/>
          <w:sz w:val="20"/>
        </w:rPr>
        <w:t xml:space="preserve">Geopolitical Matters. </w:t>
      </w:r>
      <w:r>
        <w:rPr>
          <w:rFonts w:ascii="Times New Roman;serif" w:hAnsi="Times New Roman;serif"/>
          <w:b w:val="false"/>
          <w:color w:val="000000"/>
          <w:sz w:val="20"/>
        </w:rPr>
        <w:t>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potential impacts to RTX’s business, customers, suppliers, employees, and operations in Israel, the Middle East, and the region at large due to continued regional instability and tensions.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Item 1A. “Risk Factors” within Part I of this Form 10-K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the following key financial performance measures to manage our business on a consolidated basis and by business segment, and to monitor and assess our results of operations: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sales: a metric that measures our revenue for the current year;</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Operating profit: a measure of our profit for the year, before non-operating expenses (income), net and income tax expense;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Operating profit margin: a measure of our Operating profit as a percentage of Total net sales;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Operating cash flow: a measure of the amount of cash generated by our business operations.</w:t>
      </w:r>
    </w:p>
    <w:tbl>
      <w:tblPr>
        <w:tblW w:w="6393" w:type="dxa"/>
        <w:jc w:val="left"/>
        <w:tblInd w:w="0" w:type="dxa"/>
        <w:tblLayout w:type="fixed"/>
        <w:tblCellMar>
          <w:top w:w="28" w:type="dxa"/>
          <w:left w:w="28" w:type="dxa"/>
          <w:bottom w:w="28" w:type="dxa"/>
          <w:right w:w="28" w:type="dxa"/>
        </w:tblCellMar>
      </w:tblPr>
      <w:tblGrid>
        <w:gridCol w:w="740"/>
        <w:gridCol w:w="649"/>
        <w:gridCol w:w="651"/>
        <w:gridCol w:w="211"/>
        <w:gridCol w:w="736"/>
        <w:gridCol w:w="301"/>
        <w:gridCol w:w="109"/>
        <w:gridCol w:w="109"/>
        <w:gridCol w:w="109"/>
        <w:gridCol w:w="211"/>
        <w:gridCol w:w="721"/>
        <w:gridCol w:w="271"/>
        <w:gridCol w:w="109"/>
        <w:gridCol w:w="109"/>
        <w:gridCol w:w="109"/>
        <w:gridCol w:w="211"/>
        <w:gridCol w:w="721"/>
        <w:gridCol w:w="316"/>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10,567</w:t>
            </w:r>
            <w:r>
              <w:rPr>
                <w:color w:val="000000"/>
              </w:rPr>
              <w:t> </w:t>
            </w:r>
          </w:p>
        </w:tc>
        <w:tc>
          <w:tcPr>
            <w:tcW w:w="3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3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better assess the underlying performance of our business, we also focus on the change in organic net sales on both a consolidated basis and business segment basis, and the change in organic operating profit on a business segment basis, which allows for better year-over-year comparability. See “Results of Operations” below for our definition of the organic change in Net sales and Operating profit, which are non-Generally Accepted Accounting Principles (non-GAAP) measures that are not defined measures under U.S. Generally Accepted Accounting Principles (GAAP) and may be calculated differently by other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focus on backlog as a key financial performance measure of our forward-looking sales growth. Total backlog was $268 billion and $218 billion as of December 31, 2025 and 2024, respectively. Backlog, which is equivalent to our remaining performance obligations (RPO) for our sales contracts, represents the aggregate dollar value of firm orders for which products have not been provided or service has not been performed and excludes unexercised contract options and potential orders under ordering-type contracts (e.g., indefinite-delivery, indefinite-quantity (IDIQ) type contracts). Backlog generally increases with bookings and/or orders and generally decreases as sales are recognized on these bookings and is affected by changes in foreign exchange rates, as well as contract cancellations and terminations, and cost underruns on cost-type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maintain a strong focus on program execution and the prudent management of capital and investments in order to maximize operating income and cash. We focus on adjusted earnings per share (EPS) and measures to assess our cash generation and the efficiency and effectiveness of our use of capital, such as free cash flow, both of which are non-GAAP measures that are not defined measures under U.S. GAAP and may be calculated differently by other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Considered together, we believe these metrics are strong indicators of our overall performance and our ability to create shareowner value. We also use these and other performance metrics for executive compensation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discussion of our results of operations and financial condition follows below in “Results of Operations”, “Segment Review”, and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our “Cautionary Note Concerning Factors That May Affect Future Results” of this Form 10-K, our period-to-period comparisons of our results, particularly at a segment level, may not be indicative of our future operating results. The following discussions of comparative results among periods, including the discussion of segment results, should be viewed in this context.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the organic change in Net sales and Cost of sales for our consolidated results of operations as well as the organic change in Net sales and Operating profit for our segments. We believe that these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Net Sales</w:t>
      </w:r>
    </w:p>
    <w:tbl>
      <w:tblPr>
        <w:tblW w:w="5337" w:type="dxa"/>
        <w:jc w:val="center"/>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1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factors contributing to the total change year-over-year in Total net sales are as follows:</w:t>
      </w:r>
    </w:p>
    <w:tbl>
      <w:tblPr>
        <w:tblW w:w="5198" w:type="dxa"/>
        <w:jc w:val="left"/>
        <w:tblInd w:w="0" w:type="dxa"/>
        <w:tblLayout w:type="fixed"/>
        <w:tblCellMar>
          <w:top w:w="28" w:type="dxa"/>
          <w:left w:w="28" w:type="dxa"/>
          <w:bottom w:w="28" w:type="dxa"/>
          <w:right w:w="28" w:type="dxa"/>
        </w:tblCellMar>
      </w:tblPr>
      <w:tblGrid>
        <w:gridCol w:w="1028"/>
        <w:gridCol w:w="901"/>
        <w:gridCol w:w="905"/>
        <w:gridCol w:w="211"/>
        <w:gridCol w:w="631"/>
        <w:gridCol w:w="109"/>
        <w:gridCol w:w="109"/>
        <w:gridCol w:w="109"/>
        <w:gridCol w:w="109"/>
        <w:gridCol w:w="211"/>
        <w:gridCol w:w="721"/>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$8.9 billion organically in 2025, primarily due to higher organic sales of $4.8 billion at Pratt &amp; Whitney, $2.6 billion at Collins, and $1.7 billion at Raytheon.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$1.2 billion decrease in net sales related to Acquisitions and divestitures, net in 2025 was primarily driven by the sale of the actuation and flight control business within our Collins segment completed in the third quarter of 2025, the sale of the Simmonds Precision Products business within our Collins segment completed in the fourth quarter of 2025, the sale of the Cybersecurity, Intelligence and Services (CIS) business within our Raytheon segment completed in the first quarter of 2024, and the sale of the Goodrich Hoist &amp; Winch business within our Collins segment completed in the fourth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$7.8 billion organically in 2024, primarily due to higher organic sales of $4.4 billion at Pratt &amp; Whitney, $2.1 billion at Collins, and $1.7 billion at Raytheon.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$1.3 billion decrease in net sales related to Acquisitions and divestitures, net in 2024 was primarily driven by the sale of our CIS business within our Raytheon segment completed in the first quarter of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net sales of $5.3 billion in 2024 was primarily driven by the absence of the net sales charge of $5.4 billion associated with the Powder Metal Matter recognized in the third quarter of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“Segment Review” below for further information by segment.</w:t>
      </w:r>
    </w:p>
    <w:tbl>
      <w:tblPr>
        <w:tblW w:w="8574"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40"/>
        <w:gridCol w:w="241"/>
        <w:gridCol w:w="301"/>
        <w:gridCol w:w="109"/>
        <w:gridCol w:w="109"/>
        <w:gridCol w:w="109"/>
        <w:gridCol w:w="232"/>
        <w:gridCol w:w="234"/>
        <w:gridCol w:w="271"/>
        <w:gridCol w:w="109"/>
        <w:gridCol w:w="109"/>
        <w:gridCol w:w="109"/>
        <w:gridCol w:w="232"/>
        <w:gridCol w:w="234"/>
        <w:gridCol w:w="316"/>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20: Segment Financial Data” within Item 8 of this Form 10-K for the composition of external net sales by products and services by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$4.6 billion in 2025 compared to 2024, primarily due to increases in external products sales of $2.2 billion at Pratt &amp; Whitney, $1.2 billion at Collins, and $1.2 billion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$3.3 billion in 2025 compared to 2024, primarily due to increases in external services sales of $2.7 billion at Pratt &amp; Whitney, $0.5 billion at Collins, and $0.1 billion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products sales increased $10.0 billion in 2024 compared to 2023, primarily driven by the absence of the net sales charge of $5.3 billion associated with the Powder Metal Matter, and increases in external product sales of $2.4 billion at Pratt &amp; Whitney, $1.2 billion at Collins, and $1.0 billion at Raytheon.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$1.8 billion in 2024 compared to 2023, primarily due to increases in external services sales of $2.0 billion at Pratt &amp; Whitney, including the absence of a services sales charge of $0.1 billion associated with the Powder Metal Matter, and a $0.4 billion increase at Collins, partially offset by a decrease in external services of $0.7 billion at Raytheon, primarily driven by the sale of our CIS business completed in the first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to major customers were as follows:</w:t>
      </w:r>
    </w:p>
    <w:tbl>
      <w:tblPr>
        <w:tblW w:w="10205" w:type="dxa"/>
        <w:jc w:val="left"/>
        <w:tblInd w:w="0" w:type="dxa"/>
        <w:tblLayout w:type="fixed"/>
        <w:tblCellMar>
          <w:top w:w="28" w:type="dxa"/>
          <w:left w:w="28" w:type="dxa"/>
          <w:bottom w:w="28" w:type="dxa"/>
          <w:right w:w="28" w:type="dxa"/>
        </w:tblCellMar>
      </w:tblPr>
      <w:tblGrid>
        <w:gridCol w:w="1195"/>
        <w:gridCol w:w="988"/>
        <w:gridCol w:w="946"/>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40"/>
        <w:gridCol w:w="241"/>
        <w:gridCol w:w="301"/>
        <w:gridCol w:w="109"/>
        <w:gridCol w:w="109"/>
        <w:gridCol w:w="109"/>
        <w:gridCol w:w="232"/>
        <w:gridCol w:w="234"/>
        <w:gridCol w:w="271"/>
        <w:gridCol w:w="109"/>
        <w:gridCol w:w="109"/>
        <w:gridCol w:w="109"/>
        <w:gridCol w:w="232"/>
        <w:gridCol w:w="234"/>
        <w:gridCol w:w="318"/>
      </w:tblGrid>
      <w:tr>
        <w:trPr/>
        <w:tc>
          <w:tcPr>
            <w:tcW w:w="119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aerospace and other commercial sales </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2023 includes the reduction in sales from the Powder Metal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Cost of Sales</w:t>
      </w:r>
    </w:p>
    <w:tbl>
      <w:tblPr>
        <w:tblW w:w="6303" w:type="dxa"/>
        <w:jc w:val="center"/>
        <w:tblInd w:w="0" w:type="dxa"/>
        <w:tblLayout w:type="fixed"/>
        <w:tblCellMar>
          <w:top w:w="28" w:type="dxa"/>
          <w:left w:w="28" w:type="dxa"/>
          <w:bottom w:w="28" w:type="dxa"/>
          <w:right w:w="28" w:type="dxa"/>
        </w:tblCellMar>
      </w:tblPr>
      <w:tblGrid>
        <w:gridCol w:w="707"/>
        <w:gridCol w:w="620"/>
        <w:gridCol w:w="623"/>
        <w:gridCol w:w="211"/>
        <w:gridCol w:w="736"/>
        <w:gridCol w:w="301"/>
        <w:gridCol w:w="109"/>
        <w:gridCol w:w="109"/>
        <w:gridCol w:w="109"/>
        <w:gridCol w:w="211"/>
        <w:gridCol w:w="721"/>
        <w:gridCol w:w="271"/>
        <w:gridCol w:w="109"/>
        <w:gridCol w:w="109"/>
        <w:gridCol w:w="109"/>
        <w:gridCol w:w="211"/>
        <w:gridCol w:w="721"/>
        <w:gridCol w:w="316"/>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70,814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4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factors contributing to the change year-over-year in Total cost of sales are as follows:</w:t>
      </w:r>
    </w:p>
    <w:tbl>
      <w:tblPr>
        <w:tblW w:w="5319" w:type="dxa"/>
        <w:jc w:val="left"/>
        <w:tblInd w:w="0" w:type="dxa"/>
        <w:tblLayout w:type="fixed"/>
        <w:tblCellMar>
          <w:top w:w="28" w:type="dxa"/>
          <w:left w:w="28" w:type="dxa"/>
          <w:bottom w:w="28" w:type="dxa"/>
          <w:right w:w="28" w:type="dxa"/>
        </w:tblCellMar>
      </w:tblPr>
      <w:tblGrid>
        <w:gridCol w:w="1110"/>
        <w:gridCol w:w="973"/>
        <w:gridCol w:w="977"/>
        <w:gridCol w:w="211"/>
        <w:gridCol w:w="631"/>
        <w:gridCol w:w="109"/>
        <w:gridCol w:w="109"/>
        <w:gridCol w:w="109"/>
        <w:gridCol w:w="109"/>
        <w:gridCol w:w="211"/>
        <w:gridCol w:w="61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increase in total cost of sales in 2025 of $7.1 billion was primarily due to the organic net sales increases at Pratt &amp; Whitney, Collins, and Raytheon noted above. The $1.1 billion decrease in cost of sales related to Acquisitions and divestitures, net in 2025 was primarily due to the net sales decreases related to Acquisitions and divestitures, net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cost of sales of $0.6 billion in 2025 was primarily driven by the absence of charges recorded in 2024, including a $0.5 billion charge recorded in the second quarter of 2024 at Raytheon related to the termination of a fixed price development contract with a foreign customer (herein referred to as “Raytheon Contract Termination”) and $0.2 billion of charges recorded in the first quarter of 2024 at Collins related to the recognition of unfavorable purchase commitments and an impairment of contract fulfillment costs that were no longer recoverable as a result of initiating alternative titanium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increase in total cost of sales in 2024 of $6.2 billion was primarily due to the organic net sales increases at Pratt &amp; Whitney, Collins, and Raytheon noted above. </w:t>
      </w:r>
    </w:p>
    <w:p>
      <w:pPr>
        <w:pStyle w:val="TextBody"/>
        <w:bidi w:val="0"/>
        <w:spacing w:lineRule="auto" w:line="288" w:before="120" w:after="283"/>
        <w:jc w:val="both"/>
        <w:rPr/>
      </w:pPr>
      <w:r>
        <w:rPr>
          <w:rFonts w:ascii="Times New Roman;serif" w:hAnsi="Times New Roman;serif"/>
          <w:b w:val="false"/>
          <w:color w:val="000000"/>
          <w:sz w:val="20"/>
        </w:rPr>
        <w:t>The $1.2 billion decrease in cost of sales related to Acquisitions and divestitures, net in 2024 was primarily driven by the sale of our CIS business within our Raytheon segment completed in the first quarter 2024</w:t>
      </w:r>
      <w:r>
        <w:rPr>
          <w:rFonts w:ascii="Times New Roman;serif" w:hAnsi="Times New Roman;serif"/>
          <w:b w:val="false"/>
          <w:color w:val="000000"/>
          <w:sz w:val="20"/>
          <w:shd w:fill="FFFFFF" w:val="clear"/>
        </w:rPr>
        <w:t>.</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cost of sales of $3.2 billion in 2024 was primarily driven by the absence of the Powder Metal Matter charge recorded in the third quarter of 2023, which resulted in a $2.5 billion net reduction in cost of sales primarily reflecting our partners’ 49% share of the impact. In addition, the increase in Other cost of sales includes a $0.5 billion charge related to the Raytheon Contract Termination recorded in the second quarter of 2024, and $0.2 billion of charges recorded in the first quarter of 2024 at Collins related to the recognition of unfavorable purchase commitments and an impairment of contract fulfillment costs that are no longer recoverable as a result of initiating alternative titanium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actions relate to ongoing cost reduction efforts including workforce reductions and the consolidation of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discussion on FAS/CAS operating adjustment, see the “FAS/CAS operating adjustment” subsection under the “Segment Review” section below. For discussion on Acquisition accounting adjustments, see the “Acquisition accounting adjustments” subsection under the “Segment Review” section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8334"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188"/>
        <w:gridCol w:w="188"/>
        <w:gridCol w:w="301"/>
        <w:gridCol w:w="109"/>
        <w:gridCol w:w="109"/>
        <w:gridCol w:w="109"/>
        <w:gridCol w:w="180"/>
        <w:gridCol w:w="181"/>
        <w:gridCol w:w="271"/>
        <w:gridCol w:w="109"/>
        <w:gridCol w:w="109"/>
        <w:gridCol w:w="109"/>
        <w:gridCol w:w="180"/>
        <w:gridCol w:w="181"/>
        <w:gridCol w:w="316"/>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cost of sales increased $3.0 billion in 2025 compared to 2024, primarily driven by increases in external products cost of sales at Pratt &amp; Whitney and Collins, each driven by the products sales changes noted above. The increase was partially offset by the absence of a $0.5 billion charge recorded in the second quarter of 2024 at Raytheon related to the Raytheon Contract Termination and charges of $0.2 billion recorded in the first quarter of 2024 at Collins as a result of initiating alternative titanium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$2.5 billion in 2025 compared to 2024, primarily due to an increase in external services cost of sales at Pratt &amp; Whitney, driven by the services sales change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products cost of sales increased $7.3 billion in 2024 compared to 2023, primarily due to the absence of the Powder Metal Matter charge recorded in the third quarter of 2023, which resulted in a $2.5 billion net reduction in cost of sales primarily reflecting our partners’ 49% share of the impact. In addition, net product cost of sales includes increases in external products cost of sales at Pratt &amp; Whitney, Collins, and Raytheon all driven by the products sales changes noted above, a $0.5 billion charge related to the Raytheon Contract Termination in the second quarter of 2024, and $0.2 billion of charges at Collins as a result of initiating alternative titanium sources recorded in the first quarter of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$1.2 billion in 2024 compared to 2023, primarily due to increases in external services cost of sales at Pratt &amp; Whitney and Collins, partially offset by a decrease in external services cost of sales at Raytheon, all driven by the services sales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i/>
          <w:color w:val="000000"/>
          <w:sz w:val="20"/>
          <w:u w:val="single"/>
        </w:rPr>
      </w:pPr>
      <w:r>
        <w:rPr>
          <w:rFonts w:ascii="Times New Roman;serif" w:hAnsi="Times New Roman;serif"/>
          <w:b/>
          <w:i/>
          <w:color w:val="000000"/>
          <w:sz w:val="20"/>
          <w:u w:val="single"/>
        </w:rPr>
        <w:t>Research and Development</w:t>
      </w:r>
    </w:p>
    <w:tbl>
      <w:tblPr>
        <w:tblW w:w="5987" w:type="dxa"/>
        <w:jc w:val="center"/>
        <w:tblInd w:w="0" w:type="dxa"/>
        <w:tblLayout w:type="fixed"/>
        <w:tblCellMar>
          <w:top w:w="28" w:type="dxa"/>
          <w:left w:w="28" w:type="dxa"/>
          <w:bottom w:w="28" w:type="dxa"/>
          <w:right w:w="28" w:type="dxa"/>
        </w:tblCellMar>
      </w:tblPr>
      <w:tblGrid>
        <w:gridCol w:w="706"/>
        <w:gridCol w:w="619"/>
        <w:gridCol w:w="624"/>
        <w:gridCol w:w="211"/>
        <w:gridCol w:w="631"/>
        <w:gridCol w:w="301"/>
        <w:gridCol w:w="109"/>
        <w:gridCol w:w="109"/>
        <w:gridCol w:w="109"/>
        <w:gridCol w:w="211"/>
        <w:gridCol w:w="616"/>
        <w:gridCol w:w="271"/>
        <w:gridCol w:w="109"/>
        <w:gridCol w:w="109"/>
        <w:gridCol w:w="109"/>
        <w:gridCol w:w="211"/>
        <w:gridCol w:w="616"/>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Customer-funded</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4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Included in Cost of sales in our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spending is subject to the variable nature of program development schedules and, therefore, year-over-year fluctuations in spending levels are expected.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company-funded research and development of $0.1 billion in 2025 compared to 2024, was primarily driven by lower spending on military and commercial programs at Collins and Pratt &amp; Whitney, partially offset by higher expenses on development programs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company-funded research and development of $0.1 billion in 2024 compared to 2023, was primarily driven by increased spending on commercial program development at Collins and Pratt &amp; Whitney, partially offset by lower expenses on development programs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customer-funded research and development of $0.2 billion in 2025 compared to 2024, was primarily driven by higher development spend on various military and commercial programs at Collins and increased spending at Pratt &amp; Whitney on military development programs, partially offset by lower spending on customer-funded expenses at Raytheon on military development programs, specifically related to the Next Generation Interceptor (NGI) program.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customer-funded research and development of $0.3 billion in 2024 compared to 2023, was primarily driven by higher development spend on various military and commercial programs at Collins and increased spending at Pratt &amp; Whitney on military programs primarily driven by the F135 Engine Core Upgrade (ECU), partially offset by lower expenses at Raytheon primarily related to the NGI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w:t>
      </w:r>
    </w:p>
    <w:tbl>
      <w:tblPr>
        <w:tblW w:w="7038" w:type="dxa"/>
        <w:jc w:val="center"/>
        <w:tblInd w:w="0" w:type="dxa"/>
        <w:tblLayout w:type="fixed"/>
        <w:tblCellMar>
          <w:top w:w="28" w:type="dxa"/>
          <w:left w:w="28" w:type="dxa"/>
          <w:bottom w:w="28" w:type="dxa"/>
          <w:right w:w="28" w:type="dxa"/>
        </w:tblCellMar>
      </w:tblPr>
      <w:tblGrid>
        <w:gridCol w:w="1088"/>
        <w:gridCol w:w="954"/>
        <w:gridCol w:w="958"/>
        <w:gridCol w:w="211"/>
        <w:gridCol w:w="631"/>
        <w:gridCol w:w="301"/>
        <w:gridCol w:w="109"/>
        <w:gridCol w:w="109"/>
        <w:gridCol w:w="109"/>
        <w:gridCol w:w="211"/>
        <w:gridCol w:w="616"/>
        <w:gridCol w:w="271"/>
        <w:gridCol w:w="109"/>
        <w:gridCol w:w="109"/>
        <w:gridCol w:w="109"/>
        <w:gridCol w:w="211"/>
        <w:gridCol w:w="616"/>
        <w:gridCol w:w="316"/>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4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30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$0.3 billion in 2025 compared to 2024, primarily driven by higher employee-related costs and higher restructuring costs related to ongoing cost reduction efforts driven by various workforce reductions initiated in 2025 at Collins.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 2024 were relatively consistent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Other Income (Expense), Net</w:t>
      </w:r>
    </w:p>
    <w:tbl>
      <w:tblPr>
        <w:tblW w:w="5426" w:type="dxa"/>
        <w:jc w:val="center"/>
        <w:tblInd w:w="0" w:type="dxa"/>
        <w:tblLayout w:type="fixed"/>
        <w:tblCellMar>
          <w:top w:w="28" w:type="dxa"/>
          <w:left w:w="28" w:type="dxa"/>
          <w:bottom w:w="28" w:type="dxa"/>
          <w:right w:w="28" w:type="dxa"/>
        </w:tblCellMar>
      </w:tblPr>
      <w:tblGrid>
        <w:gridCol w:w="865"/>
        <w:gridCol w:w="758"/>
        <w:gridCol w:w="761"/>
        <w:gridCol w:w="211"/>
        <w:gridCol w:w="481"/>
        <w:gridCol w:w="109"/>
        <w:gridCol w:w="109"/>
        <w:gridCol w:w="109"/>
        <w:gridCol w:w="109"/>
        <w:gridCol w:w="211"/>
        <w:gridCol w:w="541"/>
        <w:gridCol w:w="109"/>
        <w:gridCol w:w="109"/>
        <w:gridCol w:w="109"/>
        <w:gridCol w:w="109"/>
        <w:gridCol w:w="211"/>
        <w:gridCol w:w="361"/>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3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includes equity earnings in unconsolidated entities, royalty income, foreign exchange gains and losses, and other ongoing and non-recurring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(expense), net of $0.5 billion in 2025 compared to 2024 was primarily due to a $0.2 billion gain on sale of the actuation and flight control business in the third quarter of 2025, a $0.1 billion gain on sale of the Simmonds Precision Products business in the fourth quarter of 2025, and $0.1 billion of gains related to the increase in fair value on investments in 2025. The increase in Other income (expense), net in 2025 compared to 2024 also benefited from the absence of a $0.9 billion charge related to the Resolution of Certain Legal Matters in 2024, partially offset by the absence of a prior year benefit of $0.4 billion gain on sale of the CIS business net of transaction and other related costs, a $0.2 billion benefit from a tax related indemnity receivable, a $0.1 billion gain on sale of Collin’s Goodrich Hoist &amp; Winch business, and an insurance recovery at Pratt &amp; Whitney of approximately $0.1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(expense), net of $0.2 billion in 2024 compared to 2023, was primarily due to a $0.9 billion charge during the second quarter of 2024 related to the Resolution of Certain Legal Matters. This was partially offset by a $0.4 billion gain on sale of Raytheon’s CIS business in the first quarter of 2024, a $0.2 billion benefit from a tax related indemnity receivable recorded in the third quarter of 2024, a $0.1 billion gain on sale of Collins’ Goodrich Hoist &amp; Winch business in the fourth quarter of 2024, and an insurance recovery at Pratt &amp; Whitney of approximately $0.1 billion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Operating Profit</w:t>
      </w:r>
    </w:p>
    <w:tbl>
      <w:tblPr>
        <w:tblW w:w="5319" w:type="dxa"/>
        <w:jc w:val="center"/>
        <w:tblInd w:w="0" w:type="dxa"/>
        <w:tblLayout w:type="fixed"/>
        <w:tblCellMar>
          <w:top w:w="28" w:type="dxa"/>
          <w:left w:w="28" w:type="dxa"/>
          <w:bottom w:w="28" w:type="dxa"/>
          <w:right w:w="28" w:type="dxa"/>
        </w:tblCellMar>
      </w:tblPr>
      <w:tblGrid>
        <w:gridCol w:w="740"/>
        <w:gridCol w:w="649"/>
        <w:gridCol w:w="651"/>
        <w:gridCol w:w="306"/>
        <w:gridCol w:w="220"/>
        <w:gridCol w:w="420"/>
        <w:gridCol w:w="109"/>
        <w:gridCol w:w="109"/>
        <w:gridCol w:w="109"/>
        <w:gridCol w:w="229"/>
        <w:gridCol w:w="177"/>
        <w:gridCol w:w="408"/>
        <w:gridCol w:w="109"/>
        <w:gridCol w:w="109"/>
        <w:gridCol w:w="109"/>
        <w:gridCol w:w="232"/>
        <w:gridCol w:w="174"/>
        <w:gridCol w:w="459"/>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w:t>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profit margin</w:t>
            </w:r>
          </w:p>
        </w:tc>
        <w:tc>
          <w:tcPr>
            <w:tcW w:w="52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5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$2.8 billion in 2025 compared to 2024 was primarily driven by an increase in the organic operating performance of our segments of $1.5 billion, a $0.2 billion gain on sale of the actuation and flight control business in 2025, and a $0.1 billion gain on sale of the Simmonds Precision Products business in the fourth quarter of 2025. The increase in Operating profit in 2025 compared to 2024 also benefited from the absence of 2024 charges, including a $0.9 billion charge related to the Resolution of Certain Legal Matters, a $0.6 billion charge related to the Raytheon Contract Termination, and charges of $0.2 billion at Collins as a result of initiating alternative titanium sources. These increases were partially offset by the absence of prior year benefits including a $0.4 billion gain on sale of the CIS business, net of transaction and other related costs and a $0.2 billion benefit from a tax related indemnity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Operating profit of $3.0 billion in 2024 compared to 2023 was primarily driven by the absence of the $2.9 billion of charges associated with the Powder Metal Matter recorded in the third quarter of 2023. In addition, the increase in Operating profit was driven by the increased operating performance of our segments of approximately $1.5 billion, a $0.4 billion gain on sale of the CIS business recorded in the first quarter of 2024, and a $0.2 billion benefit from a tax related indemnity receivable recorded in the third quarter of 2024. The above items were partially offset by a $0.9 billion charge in the second quarter of 2024 related to the Resolution of Certain Legal Matters, a $0.6 billion charge in the second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related to the Raytheon Contract Termination, and the $0.3 billion change in our FAS/CAS operating adjustment which is described below in “Segment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Non-service Pension Income</w:t>
      </w:r>
    </w:p>
    <w:tbl>
      <w:tblPr>
        <w:tblW w:w="6162" w:type="dxa"/>
        <w:jc w:val="center"/>
        <w:tblInd w:w="0" w:type="dxa"/>
        <w:tblLayout w:type="fixed"/>
        <w:tblCellMar>
          <w:top w:w="28" w:type="dxa"/>
          <w:left w:w="28" w:type="dxa"/>
          <w:bottom w:w="28" w:type="dxa"/>
          <w:right w:w="28" w:type="dxa"/>
        </w:tblCellMar>
      </w:tblPr>
      <w:tblGrid>
        <w:gridCol w:w="881"/>
        <w:gridCol w:w="773"/>
        <w:gridCol w:w="776"/>
        <w:gridCol w:w="211"/>
        <w:gridCol w:w="691"/>
        <w:gridCol w:w="109"/>
        <w:gridCol w:w="109"/>
        <w:gridCol w:w="109"/>
        <w:gridCol w:w="109"/>
        <w:gridCol w:w="211"/>
        <w:gridCol w:w="691"/>
        <w:gridCol w:w="109"/>
        <w:gridCol w:w="109"/>
        <w:gridCol w:w="109"/>
        <w:gridCol w:w="109"/>
        <w:gridCol w:w="211"/>
        <w:gridCol w:w="69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4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Non-service pension income of $0.3 billion in 2025 compared to 2024 was primarily driven by a $0.3 billion settlement charge recorded in fourth quarter of 2025 associated with the annuity buy-out conversion. See “Note 10: Employee Benefit Plans” within Item 8 of this Form 10-K for further discussion.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Non-service pension income of $0.3 billion in 2024 compared to 2023 was primarily driven by the decrease in the recognized actuarial net (gain) loss as a result of the merger of the remaining Raytheon Company qualified pension plans into the RTX Consolidated Pension Plan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Interest Expense, Net</w:t>
      </w:r>
    </w:p>
    <w:tbl>
      <w:tblPr>
        <w:tblW w:w="10205" w:type="dxa"/>
        <w:jc w:val="center"/>
        <w:tblInd w:w="0" w:type="dxa"/>
        <w:tblLayout w:type="fixed"/>
        <w:tblCellMar>
          <w:top w:w="28" w:type="dxa"/>
          <w:left w:w="28" w:type="dxa"/>
          <w:bottom w:w="28" w:type="dxa"/>
          <w:right w:w="28" w:type="dxa"/>
        </w:tblCellMar>
      </w:tblPr>
      <w:tblGrid>
        <w:gridCol w:w="2248"/>
        <w:gridCol w:w="1971"/>
        <w:gridCol w:w="1947"/>
        <w:gridCol w:w="211"/>
        <w:gridCol w:w="631"/>
        <w:gridCol w:w="301"/>
        <w:gridCol w:w="109"/>
        <w:gridCol w:w="109"/>
        <w:gridCol w:w="109"/>
        <w:gridCol w:w="211"/>
        <w:gridCol w:w="616"/>
        <w:gridCol w:w="271"/>
        <w:gridCol w:w="109"/>
        <w:gridCol w:w="109"/>
        <w:gridCol w:w="109"/>
        <w:gridCol w:w="211"/>
        <w:gridCol w:w="616"/>
        <w:gridCol w:w="317"/>
      </w:tblGrid>
      <w:tr>
        <w:trPr/>
        <w:tc>
          <w:tcPr>
            <w:tcW w:w="224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non-operating expense (income) </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average interest expense rate - average outstanding borrowings during the year:</w:t>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16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average interest expense rate - outstanding borrowings as of December 31:</w:t>
            </w:r>
          </w:p>
        </w:tc>
        <w:tc>
          <w:tcPr>
            <w:tcW w:w="84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$0.1 billion in 2025 compared to 2024, primarily driven by debt repayments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$0.4 billion in 2024 compared to 2023. The increase in Interest expense of $0.3 billion was primarily due to long-term debt issuances and term loan borrowings in 2023, partially offset by the reversal of interest accruals as a result of the conclusion of the examination phases of certain RTX and Rockwell Collins tax audits in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Income Taxes</w:t>
      </w:r>
    </w:p>
    <w:tbl>
      <w:tblPr>
        <w:tblW w:w="5234" w:type="dxa"/>
        <w:jc w:val="center"/>
        <w:tblInd w:w="0" w:type="dxa"/>
        <w:tblLayout w:type="fixed"/>
        <w:tblCellMar>
          <w:top w:w="28" w:type="dxa"/>
          <w:left w:w="28" w:type="dxa"/>
          <w:bottom w:w="28" w:type="dxa"/>
          <w:right w:w="28" w:type="dxa"/>
        </w:tblCellMar>
      </w:tblPr>
      <w:tblGrid>
        <w:gridCol w:w="777"/>
        <w:gridCol w:w="681"/>
        <w:gridCol w:w="686"/>
        <w:gridCol w:w="263"/>
        <w:gridCol w:w="263"/>
        <w:gridCol w:w="301"/>
        <w:gridCol w:w="109"/>
        <w:gridCol w:w="109"/>
        <w:gridCol w:w="109"/>
        <w:gridCol w:w="255"/>
        <w:gridCol w:w="256"/>
        <w:gridCol w:w="271"/>
        <w:gridCol w:w="109"/>
        <w:gridCol w:w="109"/>
        <w:gridCol w:w="109"/>
        <w:gridCol w:w="255"/>
        <w:gridCol w:w="256"/>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1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3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2025 and 2024 effective tax rates are the same, the 2025 effective rate reflects a lower U.S. tax benefit associated with Foreign Derived Intangible Income resulting from the Act. Both periods include tax benefits associated with certain legal entity reorganizations and the tax effects of dispositions.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2024 effective tax rate includes tax benefits of $0.3 billion resulting from the conclusion of the examination phases of the U.S. federal income tax audits for RTX 2017 and 2018 tax years and Rockwell Collins 2016, 2017, and 2018 tax years. Also included in the 2024 effective tax rate is a $0.2 billion tax charge related to U.S. federal income taxes owed by the Company resulting from a favorable non-U.S. tax ruling Otis received in 2024. The ruling Otis received reduces U.S. foreign tax credits previously claimed by the Company in pre-separation tax years. This item is subject to a tax matters agreement entered into with Carrier and Otis in connection with the separations of those businesses in 2020. Accordingly, the Company recorded a pre-tax benefit of $0.2 billion for a portion of the indemnity owed by Otis to the Company for the reduction in foreign taxes in the pre-separation years. Additionally, the Company is indemnified by Otis for the associated interest related to the Otis non-US ruling.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2023 effective tax rate includes a deferred tax benefit of $0.7 billion associated with the $2.9 billion Powder Metal Matter pre-tax charge.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additional discussion of income taxes and the effective income tax rate, see “Income Taxes” within Critical Accounting Estimates below, and “Note 12: Income Taxes” within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Net Income Attributable to Common Shareowners</w:t>
      </w:r>
    </w:p>
    <w:tbl>
      <w:tblPr>
        <w:tblW w:w="7602" w:type="dxa"/>
        <w:jc w:val="center"/>
        <w:tblInd w:w="0" w:type="dxa"/>
        <w:tblLayout w:type="fixed"/>
        <w:tblCellMar>
          <w:top w:w="28" w:type="dxa"/>
          <w:left w:w="28" w:type="dxa"/>
          <w:bottom w:w="28" w:type="dxa"/>
          <w:right w:w="28" w:type="dxa"/>
        </w:tblCellMar>
      </w:tblPr>
      <w:tblGrid>
        <w:gridCol w:w="1477"/>
        <w:gridCol w:w="1296"/>
        <w:gridCol w:w="1307"/>
        <w:gridCol w:w="211"/>
        <w:gridCol w:w="631"/>
        <w:gridCol w:w="109"/>
        <w:gridCol w:w="109"/>
        <w:gridCol w:w="109"/>
        <w:gridCol w:w="109"/>
        <w:gridCol w:w="211"/>
        <w:gridCol w:w="616"/>
        <w:gridCol w:w="109"/>
        <w:gridCol w:w="109"/>
        <w:gridCol w:w="109"/>
        <w:gridCol w:w="109"/>
        <w:gridCol w:w="211"/>
        <w:gridCol w:w="61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shareowners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$1.6 billion, net of tax, which had an unfavorable impact on diluted earnings per share (EPS) of $1.15;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pension settlement charge of $0.2 billion, net of tax, which had an unfavorable impact on diluted EPS of $0.15;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$0.2 billion, net of tax, which had an unfavorable impact on diluted EPS of $0.14.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2024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$1.6 billion, net of tax, which had an unfavorable impact on diluted EPS of $1.20;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related to the Resolution of Certain Legal Matters of $0.9 billion, net of tax, which had an unfavorable impact on diluted EPS of $0.65;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of $0.4 billion, net of tax, related to the Raytheon Contract Termination, which had an unfavorable impact on diluted EPS of $0.33;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benefit recognized as a result of the conclusion of the examination phases of the RTX and Rockwell Collins tax audits of $0.3 billion, net of tax, which had a favorable impact on diluted EPS of $0.21;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gain on sale of the CIS business, net of transaction and other related costs, of $0.2 billion, net of tax, which had a favorable impact on diluted EPS of $0.18;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charges related to initiating alternative titanium sources at our Collins segment of $0.2 billion, which had an unfavorable impact on diluted EPS of $0.13;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$0.2 billion, net of tax, which had an unfavorable impact on diluted EPS of $0.12;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of $0.1 billion, net of tax, related to a customer bankruptcy, which had an unfavorable impact on diluted EPS of $0.09;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charge of $0.1 billion, net of tax, related to impairment of contract fulfillment costs in the fourth quarter of 2024, due to a contract cancellation at our Collins segment, which had an unfavorable impact on diluted EPS of $0.09.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2023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charge associated with the Powder Metal Matter of $2.2 billion, net of tax and partner share, which had an unfavorable impact on diluted EPS of $1.55;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$1.6 billion, net of tax, which had an unfavorable impact on diluted EPS of $1.09;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$0.2 billion, net of tax, which had an unfavorable impact on diluted EPS of $0.13;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charges related to a customer insolvency of $0.1 billion, net of tax and noncontrolling interest, which had an unfavorable impact on diluted EPS of $0.08.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REVIEW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detailed description of our businesses, see “Business Segments” within Item 1. “Business” of this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(loss)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we believe that Total net sales and Operating profit (loss) (and the related operating profit (loss) margin percentage), which we disclose and discuss at the segment level, are most relevant to an understanding of management’s view of our segment performance, as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Operating profit (loss)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bidi w:val="0"/>
        <w:spacing w:lineRule="auto" w:line="288" w:before="120" w:after="283"/>
        <w:jc w:val="left"/>
        <w:rPr/>
      </w:pPr>
      <w:r>
        <w:rPr>
          <w:rFonts w:ascii="Times New Roman;serif" w:hAnsi="Times New Roman;serif"/>
          <w:b w:val="false"/>
          <w:i/>
          <w:color w:val="000000"/>
          <w:sz w:val="20"/>
        </w:rPr>
        <w:t xml:space="preserve">Total Net Sales. </w:t>
      </w:r>
      <w:r>
        <w:rPr>
          <w:rFonts w:ascii="Times New Roman;serif" w:hAnsi="Times New Roman;serif"/>
          <w:b w:val="false"/>
          <w:color w:val="000000"/>
          <w:sz w:val="20"/>
        </w:rPr>
        <w:t>Total net sales by segment were as follows:</w:t>
      </w:r>
    </w:p>
    <w:tbl>
      <w:tblPr>
        <w:tblW w:w="5817" w:type="dxa"/>
        <w:jc w:val="left"/>
        <w:tblInd w:w="0" w:type="dxa"/>
        <w:tblLayout w:type="fixed"/>
        <w:tblCellMar>
          <w:top w:w="28" w:type="dxa"/>
          <w:left w:w="28" w:type="dxa"/>
          <w:bottom w:w="28" w:type="dxa"/>
          <w:right w:w="28" w:type="dxa"/>
        </w:tblCellMar>
      </w:tblPr>
      <w:tblGrid>
        <w:gridCol w:w="719"/>
        <w:gridCol w:w="629"/>
        <w:gridCol w:w="632"/>
        <w:gridCol w:w="211"/>
        <w:gridCol w:w="736"/>
        <w:gridCol w:w="109"/>
        <w:gridCol w:w="109"/>
        <w:gridCol w:w="109"/>
        <w:gridCol w:w="109"/>
        <w:gridCol w:w="211"/>
        <w:gridCol w:w="721"/>
        <w:gridCol w:w="109"/>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includes the reduction in sales from the Powder Metal Matter.</w:t>
      </w:r>
    </w:p>
    <w:p>
      <w:pPr>
        <w:pStyle w:val="TextBody"/>
        <w:bidi w:val="0"/>
        <w:spacing w:lineRule="auto" w:line="288" w:before="120" w:after="283"/>
        <w:jc w:val="left"/>
        <w:rPr/>
      </w:pPr>
      <w:r>
        <w:rPr>
          <w:rFonts w:ascii="Times New Roman;serif" w:hAnsi="Times New Roman;serif"/>
          <w:b w:val="false"/>
          <w:i/>
          <w:color w:val="000000"/>
          <w:sz w:val="20"/>
        </w:rPr>
        <w:t xml:space="preserve">Operating Profit (Loss). </w:t>
      </w:r>
      <w:r>
        <w:rPr>
          <w:rFonts w:ascii="Times New Roman;serif" w:hAnsi="Times New Roman;serif"/>
          <w:b w:val="false"/>
          <w:color w:val="000000"/>
          <w:sz w:val="20"/>
        </w:rPr>
        <w:t>Operating profit (loss) by segment was as follows:</w:t>
      </w:r>
    </w:p>
    <w:tbl>
      <w:tblPr>
        <w:tblW w:w="7736" w:type="dxa"/>
        <w:jc w:val="left"/>
        <w:tblInd w:w="0" w:type="dxa"/>
        <w:tblLayout w:type="fixed"/>
        <w:tblCellMar>
          <w:top w:w="28" w:type="dxa"/>
          <w:left w:w="28" w:type="dxa"/>
          <w:bottom w:w="28" w:type="dxa"/>
          <w:right w:w="28" w:type="dxa"/>
        </w:tblCellMar>
      </w:tblPr>
      <w:tblGrid>
        <w:gridCol w:w="1530"/>
        <w:gridCol w:w="1339"/>
        <w:gridCol w:w="1345"/>
        <w:gridCol w:w="211"/>
        <w:gridCol w:w="631"/>
        <w:gridCol w:w="109"/>
        <w:gridCol w:w="109"/>
        <w:gridCol w:w="109"/>
        <w:gridCol w:w="109"/>
        <w:gridCol w:w="211"/>
        <w:gridCol w:w="616"/>
        <w:gridCol w:w="109"/>
        <w:gridCol w:w="109"/>
        <w:gridCol w:w="109"/>
        <w:gridCol w:w="109"/>
        <w:gridCol w:w="211"/>
        <w:gridCol w:w="616"/>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expenses and other unallocated items </w:t>
            </w:r>
            <w:r>
              <w:rPr>
                <w:rFonts w:ascii="Times New Roman;serif" w:hAnsi="Times New Roman;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includes the impacts from the Powder Metal Matter.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a $0.9 billion charge in the second quarter of 2024 related to the Resolution of Certain Legal Matters. See “Note 1: Basis of Presentation and Summary of Accounting Principles” within Item 8 of this Form 10-K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segment Operating profit (loss)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1: Basis of Presentation and Summary of Accounting Principles” within Item 8 of this Form 10-K.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had the following net EAC adjustments for the periods presented:</w:t>
      </w:r>
    </w:p>
    <w:tbl>
      <w:tblPr>
        <w:tblW w:w="5141" w:type="dxa"/>
        <w:jc w:val="left"/>
        <w:tblInd w:w="0" w:type="dxa"/>
        <w:tblLayout w:type="fixed"/>
        <w:tblCellMar>
          <w:top w:w="28" w:type="dxa"/>
          <w:left w:w="28" w:type="dxa"/>
          <w:bottom w:w="28" w:type="dxa"/>
          <w:right w:w="28" w:type="dxa"/>
        </w:tblCellMar>
      </w:tblPr>
      <w:tblGrid>
        <w:gridCol w:w="674"/>
        <w:gridCol w:w="591"/>
        <w:gridCol w:w="594"/>
        <w:gridCol w:w="211"/>
        <w:gridCol w:w="541"/>
        <w:gridCol w:w="109"/>
        <w:gridCol w:w="109"/>
        <w:gridCol w:w="109"/>
        <w:gridCol w:w="109"/>
        <w:gridCol w:w="211"/>
        <w:gridCol w:w="541"/>
        <w:gridCol w:w="109"/>
        <w:gridCol w:w="109"/>
        <w:gridCol w:w="109"/>
        <w:gridCol w:w="109"/>
        <w:gridCol w:w="211"/>
        <w:gridCol w:w="54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net EAC adjustments of $0.1 billion in 2025 compared to 2024 was primarily due to favorable changes in net EAC adjustments at Raytheon, partially offset by unfavorable changes in net EAC adjustments at Pratt &amp; Whitney. The change at Raytheon benefited from the absence of a $53 million unfavorable adjustment in the third quarter of 2024, with the remaining change spread across numerous individual programs. The unfavorable changes at Pratt &amp; Whitney were spread across numerous programs, with no individual or common significant driver.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net EAC adjustments of $0.2 billion in 2024 compared to 2023 was primarily due to favorable changes in net EAC adjustments at Pratt &amp; Whitney and Raytheon, partially offset by unfavorable changes in net EAC adjustments at Collins.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at Pratt was primarily driven by the absence of a $0.1 billion unfavorable impact recorded in the third quarter of 2023 as a result of increased cost to our aftermarket contracts resulting from the Powder Metal Matter. The change at Collins was spread across numerous individual programs, with no individual or common significant driver. The change at Raytheon was primarily due to improvement in net EAC adjustments related to certain fixed price development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$0.1 billion primarily related to reserve and contract loss provision adjustments. Additionally, during the second quarter of 2024, Raytheon recognized a $0.6 billion charge related to the impact of the Raytheon Contract Termination. The charge included the write-off of remaining contract assets and the estimated settlement with the customer. The contract termination was completed and customer settlement occurred during the fourth quarter of 2024, in line with previously accrued amounts.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EAC adjustments, when they occur, are discussed in each business segment’s discussion below.</w:t>
      </w:r>
    </w:p>
    <w:p>
      <w:pPr>
        <w:pStyle w:val="TextBody"/>
        <w:bidi w:val="0"/>
        <w:spacing w:lineRule="auto" w:line="288" w:before="120" w:after="283"/>
        <w:jc w:val="both"/>
        <w:rPr/>
      </w:pPr>
      <w:r>
        <w:rPr>
          <w:rFonts w:ascii="Times New Roman;serif" w:hAnsi="Times New Roman;serif"/>
          <w:b w:val="false"/>
          <w:i/>
          <w:color w:val="000000"/>
          <w:sz w:val="20"/>
        </w:rPr>
        <w:t xml:space="preserve">Backlog and Bookings. </w:t>
      </w:r>
      <w:r>
        <w:rPr>
          <w:rFonts w:ascii="Times New Roman;serif" w:hAnsi="Times New Roman;serif"/>
          <w:b w:val="false"/>
          <w:color w:val="000000"/>
          <w:sz w:val="20"/>
        </w:rPr>
        <w:t>Total backlog was approximately $268 billion and $218 billion as of December 31, 2025 and 2024, respectively. Our backlog by segment, which excludes intercompany backlog, was as follows at December 31:</w:t>
      </w:r>
    </w:p>
    <w:tbl>
      <w:tblPr>
        <w:tblW w:w="3563" w:type="dxa"/>
        <w:jc w:val="left"/>
        <w:tblInd w:w="0" w:type="dxa"/>
        <w:tblLayout w:type="fixed"/>
        <w:tblCellMar>
          <w:top w:w="28" w:type="dxa"/>
          <w:left w:w="28" w:type="dxa"/>
          <w:bottom w:w="28" w:type="dxa"/>
          <w:right w:w="28" w:type="dxa"/>
        </w:tblCellMar>
      </w:tblPr>
      <w:tblGrid>
        <w:gridCol w:w="580"/>
        <w:gridCol w:w="510"/>
        <w:gridCol w:w="514"/>
        <w:gridCol w:w="211"/>
        <w:gridCol w:w="481"/>
        <w:gridCol w:w="109"/>
        <w:gridCol w:w="109"/>
        <w:gridCol w:w="109"/>
        <w:gridCol w:w="109"/>
        <w:gridCol w:w="211"/>
        <w:gridCol w:w="46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billions)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backlog includes commercial backlog of $161 billion and $125 billion as of December 31, 2025 and 2024, respectively, and defense backlog of $107 billion and $93 billion as of December 31, 2025 and 2024,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Backlog, which is equivalent to our RPO for our sales contracts, represents the aggregate dollar value of firm orders for which products have not been provided or service has not been performed and excludes unexercised contract options and potential orders under ordering-type contracts (e.g., IDIQ type contracts). Backlog generally increases with bookings and/or orders and generally decreases as sales are recognized on these bookings and is affected by changes in foreign exchange rates, as well as contract cancellations and terminations, and cost underruns on cost-type contracts as discussed further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$61 billion in both 2025 and 2024 and $51 billion in 2023.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Defense bookings generally represent the dollar value of new external defense contracts awarded to us during the reporting period and include firm orders for which funding has not been appropriated. Defense bookings exclude unexercised contract options and potential orders under ordering-type contracts (e.g., IDIQ type contracts). We reflect contract cancellations and terminations, as well as the impact of changes in foreign exchange rates, directly as an adjustment to backlog in the period in which the cancellation or termination occurs and the impact is determinable. Contract cancellations and terminations also include contract underruns on cost-type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Collins Aerospace</w:t>
      </w:r>
    </w:p>
    <w:tbl>
      <w:tblPr>
        <w:tblW w:w="10205" w:type="dxa"/>
        <w:jc w:val="left"/>
        <w:tblInd w:w="0" w:type="dxa"/>
        <w:tblLayout w:type="fixed"/>
        <w:tblCellMar>
          <w:top w:w="28" w:type="dxa"/>
          <w:left w:w="28" w:type="dxa"/>
          <w:bottom w:w="28" w:type="dxa"/>
          <w:right w:w="28" w:type="dxa"/>
        </w:tblCellMar>
      </w:tblPr>
      <w:tblGrid>
        <w:gridCol w:w="672"/>
        <w:gridCol w:w="510"/>
        <w:gridCol w:w="512"/>
        <w:gridCol w:w="109"/>
        <w:gridCol w:w="109"/>
        <w:gridCol w:w="109"/>
        <w:gridCol w:w="211"/>
        <w:gridCol w:w="736"/>
        <w:gridCol w:w="301"/>
        <w:gridCol w:w="109"/>
        <w:gridCol w:w="109"/>
        <w:gridCol w:w="109"/>
        <w:gridCol w:w="211"/>
        <w:gridCol w:w="721"/>
        <w:gridCol w:w="271"/>
        <w:gridCol w:w="109"/>
        <w:gridCol w:w="109"/>
        <w:gridCol w:w="109"/>
        <w:gridCol w:w="211"/>
        <w:gridCol w:w="721"/>
        <w:gridCol w:w="271"/>
        <w:gridCol w:w="109"/>
        <w:gridCol w:w="109"/>
        <w:gridCol w:w="109"/>
        <w:gridCol w:w="342"/>
        <w:gridCol w:w="331"/>
        <w:gridCol w:w="919"/>
        <w:gridCol w:w="109"/>
        <w:gridCol w:w="109"/>
        <w:gridCol w:w="109"/>
        <w:gridCol w:w="330"/>
        <w:gridCol w:w="330"/>
        <w:gridCol w:w="970"/>
      </w:tblGrid>
      <w:tr>
        <w:trPr/>
        <w:tc>
          <w:tcPr>
            <w:tcW w:w="67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compared with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compared with 2023</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2025 Compared with 2024</w:t>
      </w:r>
    </w:p>
    <w:tbl>
      <w:tblPr>
        <w:tblW w:w="7952"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2024 Compared with 2023</w:t>
      </w:r>
    </w:p>
    <w:tbl>
      <w:tblPr>
        <w:tblW w:w="8027"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386"/>
        <w:gridCol w:w="689"/>
        <w:gridCol w:w="201"/>
        <w:gridCol w:w="109"/>
        <w:gridCol w:w="109"/>
        <w:gridCol w:w="109"/>
        <w:gridCol w:w="322"/>
        <w:gridCol w:w="621"/>
        <w:gridCol w:w="168"/>
        <w:gridCol w:w="109"/>
        <w:gridCol w:w="109"/>
        <w:gridCol w:w="109"/>
        <w:gridCol w:w="211"/>
        <w:gridCol w:w="436"/>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$2.6 billion in 2025 compared to 2024 primarily relates to higher commercial aerospace aftermarket sales of $1.4 billion, higher defense sales of $0.7 billion and higher commercial OEM sales of $0.5 billion. The increase in commercial aftermarket sales was driven by higher volume across all aftermarket sales channels. The increase in defense sales was due to higher volume across multiple programs and platforms. The increase in commercial OEM sales was primarily driven by higher volume on widebody and narrowbody.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$0.5 billion in 2025 compared to 2024 was primarily due to higher commercial aerospace operating profit of $0.3 billion, principally driven by the higher sales volume discussed above, partially offset by the impact of tariffs and unfavorable commercial OEM mix. Defense operating profit increased $0.1 billion in 2025 compared to 2024 due to higher sales volume. Lower research and development expenses were partially offset by higher selling, general and administrative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due to Acquisitions/Divestitures, net from 2025 compared to 2024 primarily relates to the sale of the actuation and flight control business completed in 2025, the sale of Simmonds Precision Products completed in 2025, and the sale of the Goodrich Hoist &amp; Winch business completed in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operating profit of $0.5 billion in 2025 compared to 2024 primarily relates to higher net gains on the sale of businesses, as referenced above, of $0.3 billion in 2025 as compared to $0.1 billion in 2024. The increase is also driven by the absence of $0.2 billion of charges recorded in 2024 related to the recognition of unfavorable purchase commitments and an impairment of contract fulfillment costs that are no longer recoverable as a result of initiating alternative titanium sources, and the absence of a $0.2 billion charge related to the impairment of contract fulfillment costs due to a contract cancellation recognized in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restructuring costs from 2025 compared to 2024 relates to ongoing cost reduction efforts driven by various workforce reductions initiated in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$2.1 billion in 2024 compared to 2023 primarily relates to higher commercial aerospace aftermarket sales of $1.2 billion, higher defense sales of $0.8 billion, and higher commercial aerospace OEM sales of $0.1 billion. The increase in commercial aerospace sales was principally driven by continued growth in commercial air traffic, which has resulted in an increase in flight hours and increased OEM volume primarily within widebody and regional aircraft, partially offset by decreased OEM volume in narrowbody aircraft. The defense sales increase was primarily due to higher volume across multiple programs and platforms.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$0.6 billion in 2024 compared to 2023 was primarily due to higher commercial aerospace operating profit of $0.4 billion, principally driven by the higher aftermarket sales volume discussed above, partially offset by unfavorable OEM mix. Defense operating profit increased $0.3 billion 2024 compared to 2023 due to the higher volume discussed above, partially offset by higher space program costs. The above increases were partially offset by $0.1 billion of higher research and development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profit of $0.3 billion in 2024 compared to 2023 was primarily driven by $0.2 billion of charges in the first quarter of 2024, related to the recognition of unfavorable purchase commitments and an impairment of contract fulfillment costs that are no longer recoverable as a result of initiating alternative titanium sources, $0.2 billion impairment of contract fulfillment costs in the fourth quarter of 2024 due to a contract cancellation, and the absence of net favorable customer settlements recorded in 2023. These decreases in Other operating profit were partially offset by a $0.1 billion net gain on the sale of the Goodrich Hoist &amp; Winch business in the fourth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actions relate to ongoing cost reduction efforts driven by various workforce reductions.</w:t>
      </w:r>
    </w:p>
    <w:p>
      <w:pPr>
        <w:pStyle w:val="TextBody"/>
        <w:bidi w:val="0"/>
        <w:spacing w:lineRule="auto" w:line="288" w:before="120" w:after="283"/>
        <w:jc w:val="both"/>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In 2025, Collins recorded $12 billion in defense bookings, comprised of a number of smaller individual bookings under $0.5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Pratt &amp; Whitney</w:t>
      </w:r>
    </w:p>
    <w:tbl>
      <w:tblPr>
        <w:tblW w:w="10205" w:type="dxa"/>
        <w:jc w:val="left"/>
        <w:tblInd w:w="0" w:type="dxa"/>
        <w:tblLayout w:type="fixed"/>
        <w:tblCellMar>
          <w:top w:w="28" w:type="dxa"/>
          <w:left w:w="28" w:type="dxa"/>
          <w:bottom w:w="28" w:type="dxa"/>
          <w:right w:w="28" w:type="dxa"/>
        </w:tblCellMar>
      </w:tblPr>
      <w:tblGrid>
        <w:gridCol w:w="850"/>
        <w:gridCol w:w="699"/>
        <w:gridCol w:w="702"/>
        <w:gridCol w:w="109"/>
        <w:gridCol w:w="109"/>
        <w:gridCol w:w="109"/>
        <w:gridCol w:w="227"/>
        <w:gridCol w:w="194"/>
        <w:gridCol w:w="497"/>
        <w:gridCol w:w="109"/>
        <w:gridCol w:w="109"/>
        <w:gridCol w:w="109"/>
        <w:gridCol w:w="212"/>
        <w:gridCol w:w="194"/>
        <w:gridCol w:w="483"/>
        <w:gridCol w:w="109"/>
        <w:gridCol w:w="109"/>
        <w:gridCol w:w="109"/>
        <w:gridCol w:w="243"/>
        <w:gridCol w:w="224"/>
        <w:gridCol w:w="483"/>
        <w:gridCol w:w="109"/>
        <w:gridCol w:w="109"/>
        <w:gridCol w:w="109"/>
        <w:gridCol w:w="373"/>
        <w:gridCol w:w="367"/>
        <w:gridCol w:w="1019"/>
        <w:gridCol w:w="109"/>
        <w:gridCol w:w="109"/>
        <w:gridCol w:w="109"/>
        <w:gridCol w:w="366"/>
        <w:gridCol w:w="365"/>
        <w:gridCol w:w="1072"/>
      </w:tblGrid>
      <w:tr>
        <w:trPr/>
        <w:tc>
          <w:tcPr>
            <w:tcW w:w="8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compared with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compared with 2023</w:t>
            </w:r>
          </w:p>
        </w:tc>
      </w:tr>
      <w:tr>
        <w:trPr/>
        <w:tc>
          <w:tcPr>
            <w:tcW w:w="2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5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 margins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49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2025 Compared with 2024</w:t>
      </w:r>
    </w:p>
    <w:tbl>
      <w:tblPr>
        <w:tblW w:w="7952"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profit </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2024 Compared with 2023</w:t>
      </w:r>
    </w:p>
    <w:tbl>
      <w:tblPr>
        <w:tblW w:w="8612" w:type="dxa"/>
        <w:jc w:val="center"/>
        <w:tblInd w:w="0" w:type="dxa"/>
        <w:tblLayout w:type="fixed"/>
        <w:tblCellMar>
          <w:top w:w="28" w:type="dxa"/>
          <w:left w:w="28" w:type="dxa"/>
          <w:bottom w:w="28" w:type="dxa"/>
          <w:right w:w="28" w:type="dxa"/>
        </w:tblCellMar>
      </w:tblPr>
      <w:tblGrid>
        <w:gridCol w:w="691"/>
        <w:gridCol w:w="606"/>
        <w:gridCol w:w="608"/>
        <w:gridCol w:w="211"/>
        <w:gridCol w:w="616"/>
        <w:gridCol w:w="109"/>
        <w:gridCol w:w="109"/>
        <w:gridCol w:w="109"/>
        <w:gridCol w:w="109"/>
        <w:gridCol w:w="370"/>
        <w:gridCol w:w="713"/>
        <w:gridCol w:w="193"/>
        <w:gridCol w:w="109"/>
        <w:gridCol w:w="109"/>
        <w:gridCol w:w="109"/>
        <w:gridCol w:w="322"/>
        <w:gridCol w:w="621"/>
        <w:gridCol w:w="168"/>
        <w:gridCol w:w="109"/>
        <w:gridCol w:w="109"/>
        <w:gridCol w:w="109"/>
        <w:gridCol w:w="211"/>
        <w:gridCol w:w="616"/>
        <w:gridCol w:w="109"/>
        <w:gridCol w:w="109"/>
        <w:gridCol w:w="109"/>
        <w:gridCol w:w="109"/>
        <w:gridCol w:w="245"/>
        <w:gridCol w:w="716"/>
        <w:gridCol w:w="179"/>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pPr>
      <w:r>
        <w:rPr>
          <w:rFonts w:ascii="Times New Roman;serif" w:hAnsi="Times New Roman;serif"/>
          <w:b w:val="false"/>
          <w:i/>
          <w:color w:val="000000"/>
          <w:sz w:val="20"/>
        </w:rPr>
        <w:t>2025 Compared with 2024</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$4.8 billion in 2025 compared to 2024 was primarily driven by higher commercial aftermarket sales of $2.9 billion primarily driven by higher volume. Also contributing to the organic net sales increase was higher commercial OEM sales of $0.9 billion driven by favorable mix and higher volume. Military sales increased $1.0 billion, primarily due to higher production volume on the F135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$0.4 billion in 2025 compared to 2024 reflects higher commercial aerospace operating profit of $0.5 billion and higher military operating profit of $0.2 billion. Higher commercial aftermarket volume and favorable commercial OEM mix more than offset the impacts of unfavorable aftermarket mix and higher tariffs and production costs. The increase in military operating profit was driven by the higher sales volume discussed above, as well as favorable mix and the absence of an unfavorable EAC adjustment of approximately $50 million in the fourth quarter of 2024, partially offset by higher production costs. These increases were partially offset by higher selling and general administrative expenses of $0.2 billion and the absence of a fourth quarter 2024 insurance recovery of approximately $0.1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operating profit in 2025 compared to 2024 primarily relates to a customer bankruptcy charge of $0.1 billion in 2025 compared to a $0.2 billion charge in 2024.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organic net sales increase of $4.4 billion in </w:t>
      </w:r>
      <w:r>
        <w:rPr>
          <w:rFonts w:ascii="Times New Roman;serif" w:hAnsi="Times New Roman;serif"/>
          <w:b w:val="false"/>
          <w:color w:val="000000"/>
          <w:sz w:val="20"/>
        </w:rPr>
        <w:t>2024 compared to 2023</w:t>
      </w:r>
      <w:r>
        <w:rPr>
          <w:color w:val="000000"/>
          <w:shd w:fill="FFFFFF" w:val="clear"/>
        </w:rPr>
        <w:t xml:space="preserve"> </w:t>
      </w:r>
      <w:r>
        <w:rPr>
          <w:rFonts w:ascii="Times New Roman;serif" w:hAnsi="Times New Roman;serif"/>
          <w:b w:val="false"/>
          <w:color w:val="000000"/>
          <w:sz w:val="20"/>
          <w:shd w:fill="FFFFFF" w:val="clear"/>
        </w:rPr>
        <w:t xml:space="preserve">primarily </w:t>
      </w:r>
      <w:r>
        <w:rPr>
          <w:rFonts w:ascii="Times New Roman;serif" w:hAnsi="Times New Roman;serif"/>
          <w:b w:val="false"/>
          <w:color w:val="000000"/>
          <w:sz w:val="20"/>
        </w:rPr>
        <w:t>reflects higher commercial OEM sales of $1.7 billion primarily driven by favorable mix on higher volume and higher commercial aftermarket sales of $1.6 billion primarily driven by higher volume. Military sales increased $1.1 billion, primarily due to higher sustainment and production volume across multiple platforms.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Other net sales decrease of $5.4 billion in 2024 compared to 2023 was primarily relates to the absence of a charge recognized in the third quarter of 2023 related to the Powder Metal Matter.</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organic operating profit (loss) increase of $0.6 billion in </w:t>
      </w:r>
      <w:r>
        <w:rPr>
          <w:rFonts w:ascii="Times New Roman;serif" w:hAnsi="Times New Roman;serif"/>
          <w:b w:val="false"/>
          <w:color w:val="000000"/>
          <w:sz w:val="20"/>
        </w:rPr>
        <w:t>2024 compared to 2023</w:t>
      </w:r>
      <w:r>
        <w:rPr>
          <w:color w:val="000000"/>
          <w:shd w:fill="FFFFFF" w:val="clear"/>
        </w:rPr>
        <w:t xml:space="preserve"> </w:t>
      </w:r>
      <w:r>
        <w:rPr>
          <w:rFonts w:ascii="Times New Roman;serif" w:hAnsi="Times New Roman;serif"/>
          <w:b w:val="false"/>
          <w:color w:val="000000"/>
          <w:sz w:val="20"/>
          <w:shd w:fill="FFFFFF" w:val="clear"/>
        </w:rPr>
        <w:t xml:space="preserve">reflects higher commercial aerospace operating profit of $0.4 billion driven by favorable mix on higher large commercial OEM volume which was partially offset by higher OEM production costs. Commercial aerospace operating profit also benefited from higher commercial aftermarket volume, which was partially offset by the impact of a shift in aftermarket mix towards higher GTF volume as well as two favorable contract matters in 2023 totaling $0.1 billion that did not repeat in 2024. The increase in military operating profit of $0.2 billion was driven by the increases from the sales volume discussed above, as well as favorable sustainment mix, partially offset by higher production costs. Military operating profit also benefited from the absence of an unfavorable EAC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approximately $60 million in the fourth quarter of 2023, which was partially offset by an unfavorable EAC adjustment of approximately $50 million in the fourth quarter of 2024. Higher research and development expenses and selling, general, and administrative expenses were partially offset by an insurance recovery of approximately $0.1 billion in the fourth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Other operating profit (loss) of $2.9 billion in 2024 compared to 2023 reflects the absence of a charge recognized in the third quarter of 2023 related to the Powder Metal Matter of $2.9 billion and a $0.2 billion charge related to a customer insolvency in the second quarter of 2023, partially offset by a $0.2 billion charge related to a customer bankruptcy in the fourth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actions relate to ongoing cost reduction efforts including workforce reductions and the consolidation of facilities.</w:t>
      </w:r>
    </w:p>
    <w:p>
      <w:pPr>
        <w:pStyle w:val="TextBody"/>
        <w:bidi w:val="0"/>
        <w:spacing w:lineRule="auto" w:line="288" w:before="120" w:after="283"/>
        <w:jc w:val="both"/>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In 2025, Pratt &amp; Whitney recorded $9 billion in defense bookings. In addition to a number of smaller individual bookings, Pratt &amp; Whitney booked $2.9 billion for F135 production and $2.4 billion for F135 sustainment.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Raytheon</w:t>
      </w:r>
    </w:p>
    <w:tbl>
      <w:tblPr>
        <w:tblW w:w="10205" w:type="dxa"/>
        <w:jc w:val="left"/>
        <w:tblInd w:w="0" w:type="dxa"/>
        <w:tblLayout w:type="fixed"/>
        <w:tblCellMar>
          <w:top w:w="28" w:type="dxa"/>
          <w:left w:w="28" w:type="dxa"/>
          <w:bottom w:w="28" w:type="dxa"/>
          <w:right w:w="28" w:type="dxa"/>
        </w:tblCellMar>
      </w:tblPr>
      <w:tblGrid>
        <w:gridCol w:w="692"/>
        <w:gridCol w:w="544"/>
        <w:gridCol w:w="547"/>
        <w:gridCol w:w="109"/>
        <w:gridCol w:w="109"/>
        <w:gridCol w:w="109"/>
        <w:gridCol w:w="284"/>
        <w:gridCol w:w="242"/>
        <w:gridCol w:w="497"/>
        <w:gridCol w:w="109"/>
        <w:gridCol w:w="109"/>
        <w:gridCol w:w="109"/>
        <w:gridCol w:w="211"/>
        <w:gridCol w:w="721"/>
        <w:gridCol w:w="271"/>
        <w:gridCol w:w="109"/>
        <w:gridCol w:w="109"/>
        <w:gridCol w:w="109"/>
        <w:gridCol w:w="211"/>
        <w:gridCol w:w="721"/>
        <w:gridCol w:w="271"/>
        <w:gridCol w:w="109"/>
        <w:gridCol w:w="109"/>
        <w:gridCol w:w="109"/>
        <w:gridCol w:w="358"/>
        <w:gridCol w:w="349"/>
        <w:gridCol w:w="969"/>
        <w:gridCol w:w="109"/>
        <w:gridCol w:w="109"/>
        <w:gridCol w:w="109"/>
        <w:gridCol w:w="345"/>
        <w:gridCol w:w="339"/>
        <w:gridCol w:w="998"/>
      </w:tblGrid>
      <w:tr>
        <w:trPr/>
        <w:tc>
          <w:tcPr>
            <w:tcW w:w="69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compared with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 compared with 2023</w:t>
            </w:r>
          </w:p>
        </w:tc>
      </w:tr>
      <w:tr>
        <w:trPr/>
        <w:tc>
          <w:tcPr>
            <w:tcW w:w="1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Bookings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39,975</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31,889 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96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9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2025 Compared with 2024</w:t>
      </w:r>
    </w:p>
    <w:tbl>
      <w:tblPr>
        <w:tblW w:w="8170" w:type="dxa"/>
        <w:jc w:val="left"/>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2024 Compared with 2023</w:t>
      </w:r>
    </w:p>
    <w:tbl>
      <w:tblPr>
        <w:tblW w:w="8244"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283"/>
        <w:gridCol w:w="846"/>
        <w:gridCol w:w="147"/>
        <w:gridCol w:w="109"/>
        <w:gridCol w:w="109"/>
        <w:gridCol w:w="109"/>
        <w:gridCol w:w="322"/>
        <w:gridCol w:w="621"/>
        <w:gridCol w:w="168"/>
        <w:gridCol w:w="109"/>
        <w:gridCol w:w="109"/>
        <w:gridCol w:w="109"/>
        <w:gridCol w:w="211"/>
        <w:gridCol w:w="436"/>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See “Segment Review” above for definition of organic.</w:t>
      </w:r>
      <w:r>
        <w:rPr>
          <w:color w:val="000000"/>
          <w:shd w:fill="FFFFFF" w:val="clear"/>
        </w:rPr>
        <w:t xml:space="preserve">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$1.7 billion in 2025 compared to 2024 was primarily due to higher net sales of $1.6 billion from land and air defense systems programs driven by higher net sales on Patriot programs, international National Advanced Surface-to-Air Missile System (NASAMS) programs, and Lower Tier Air and Missile Defense Sensor (LTAMDS) programs. Also contributing to the increase was higher net sales of $0.7 billion from naval power programs primarily due to higher net sales on Evolved SeaSparrow Missile (ESSM) programs, SPY-6 radar programs, and certain classified programs. These increases were partially offset by lower net sales of $0.3 billion within air and space defense systems, primarily driven by lower development program volume partially offset by higher net sales on advanced medium-range air-to-air missile (AMRAAM) programs. Additionally, the organic net sales increase was partially offset by the absence of $0.3 billion of sales recognized in the fourth quarter of 2024 associated with the restart of certain contracts with a Middle East customer.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net sales of $0.1 billion in 2025 compared to 2024 was primarily driven by the absence of $0.1 billion charge related to Raytheon Contract Termination initiated in the second quarter of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$0.6 billion in 2025 compared to 2024 was primarily due to a favorable change in mix and other performance of $0.3 billion, a favorable change in net EAC adjustments of $0.2 billion and higher volume of approximately $0.1 billion. The favorable change in mix and other performance was primarily driven by increased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Patriot programs. The favorable change in net EAC adjustments was spread across numerous programs and benefited from the absence of a $53 million unfavorable adjustment in the third quarter of 2024 related to cost increases on a classified program. The increase in volume was principally driven by the higher net sales discussed above.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and operating profit due to Acquisitions / Divestitures, net in 2025 compared to 2024 primarily relates to the sale of the CIS business completed in the first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operating profit of $0.1 billion in 2025 compared to 2024 was primarily due to the absence of a $0.6 billion charge related to the Raytheon Contract Termination initiated in the second quarter of 2024, partially offset by the absence of a $0.4 billion gain on sale of the CIS business in the first quarter of 2024, and a $0.1 billion net benefit primarily related to reserve and contract loss provision adjustments recognized in the fourth quarter of 2024 as a result of restarting work under certain contracts with a Middle East customer.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$1.7 billion in 2024 compared to 2023 was primarily due to higher net sales of $1.4 billion from land and air defense systems programs driven by higher net sales on certain international Patriot programs, certain international NASAMS programs, and Counter-Unmanned Aircraft Systems (C-UAS) programs. Also contributing to the increase was higher net sales of $0.4 billion from advanced technology programs primarily driven by higher volume on classified programs and on a development program. Additionally, the organic net sales increase includes $0.3 billion of sales associated with the restart of certain contracts with a Middle East customer. These increases were partially offset by lower net sales of $0.5 billion from air and space defense systems programs primarily due to the completion of certain programs, and the timing of a prior year program award.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net sales in 2025 compared to 2024 was primarily driven by $0.1 billion related to the Raytheon Contract Termination initiated in the second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$0.4 billion in 2024 compared to 2023 was primarily due to higher volume of $0.2 billion primarily driven by the net sales increases noted above and an improvement in net EAC adjustments of $0.2 billion. The change in net EAC adjustments was primarily due to improvement in net EAC adjustments related to certain fixed price development contracts. Included in the change in net EAC adjustments was a benefit from the absence of a $51 million unfavorable adjustment in 2023 related to significant contract options exercised, which was offset by a $53 million unfavorable EAC adjustment in the third quarter of 2024 related to cost increases on a classified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and operating profit due to Acquisitions / Divestitures, net in 2024 compared to 2023 primarily relates to the sale of the CIS business completed in the first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profit in 2024 compared to 2023 was primarily driven by $0.6 billion related to the Raytheon Contract Termination initiated in the second quarter of 2024, partially offset by a $0.4 billion gain on the sale of the CIS business in the first quarter of 2024, and a $0.1 billion net benefit primarily related to reserve and contract loss provision adjustments recognized in the fourth quarter of 2024 as a result of restarting work under certain contracts with a Middle East customer.</w:t>
      </w:r>
    </w:p>
    <w:p>
      <w:pPr>
        <w:pStyle w:val="TextBody"/>
        <w:bidi w:val="0"/>
        <w:spacing w:lineRule="auto" w:line="288" w:before="120" w:after="283"/>
        <w:jc w:val="both"/>
        <w:rPr/>
      </w:pPr>
      <w:r>
        <w:rPr>
          <w:rFonts w:ascii="Times New Roman;serif" w:hAnsi="Times New Roman;serif"/>
          <w:b w:val="false"/>
          <w:i/>
          <w:color w:val="000000"/>
          <w:sz w:val="20"/>
        </w:rPr>
        <w:t>Defense Backlog and Bookings</w:t>
      </w:r>
      <w:r>
        <w:rPr>
          <w:color w:val="000000"/>
        </w:rPr>
        <w:t xml:space="preserve">– </w:t>
      </w:r>
      <w:r>
        <w:rPr>
          <w:rFonts w:ascii="Times New Roman;serif" w:hAnsi="Times New Roman;serif"/>
          <w:b w:val="false"/>
          <w:color w:val="000000"/>
          <w:sz w:val="20"/>
        </w:rPr>
        <w:t xml:space="preserve">Backlog was $75 billion at December 31, 2025 compared to $63 billion at December 31, 2024. In 2025, Raytheon recorded $40 billion in defense bookings. In addition to a number of smaller individual bookings, Raytheon booked $2.5 billion on several contracts to provide Guidance Enhanced Missiles (GEM-T) and Patriot launchers for international customers and the U.S. Army, $2.1 billion to provide AMRAAM to the U.S. Air Force, U.S. Navy, and international customers, $1.5 billion for low-rate initial production (LRIP) of LTAMDS for the U.S. Army and Poland, $1.2 billion for Iron Dome Tamir production for an international customer, $1.2 billion to provide Patriot systems for Spain, $1.1 billion for AIM-9X Sidewinder Block II short-range air-to-air missiles for the U.S. Navy and international customers, $901 million to provide Standard Missile-3 (SM-3) for the Missile Defense Agency (MDA), $647 million for a SPY-6 Hardware Production and Sustainment contract for the U.S. Navy, $581 million for Next Generation Jammer Mid-Band (NGJ-MB) for the U.S. Navy and the Royal Australian Air Force, $556 million to provide NASAMS to an international customer, $529 million to provide Patriot systems for the Netherlands, $517 million to provide Stinger missiles to the U.S. Army and international customers, $513 million to provide Tomahawk to the U.S. Navy, and $5.9 billion on a number of classified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Corporate and Eliminations and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Eliminations and other reflects the elimination of sales, other income, and operating profit transacted between segments, as well as the operating results of certain smaller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 consists of costs not considered part of management’s evaluation of reportable segment operating performance, including certain unallowable costs and reserves.</w:t>
      </w:r>
    </w:p>
    <w:tbl>
      <w:tblPr>
        <w:tblW w:w="10205" w:type="dxa"/>
        <w:jc w:val="left"/>
        <w:tblInd w:w="0" w:type="dxa"/>
        <w:tblLayout w:type="fixed"/>
        <w:tblCellMar>
          <w:top w:w="28" w:type="dxa"/>
          <w:left w:w="28" w:type="dxa"/>
          <w:bottom w:w="28" w:type="dxa"/>
          <w:right w:w="28" w:type="dxa"/>
        </w:tblCellMar>
      </w:tblPr>
      <w:tblGrid>
        <w:gridCol w:w="1243"/>
        <w:gridCol w:w="1074"/>
        <w:gridCol w:w="1034"/>
        <w:gridCol w:w="211"/>
        <w:gridCol w:w="677"/>
        <w:gridCol w:w="109"/>
        <w:gridCol w:w="109"/>
        <w:gridCol w:w="109"/>
        <w:gridCol w:w="109"/>
        <w:gridCol w:w="211"/>
        <w:gridCol w:w="677"/>
        <w:gridCol w:w="109"/>
        <w:gridCol w:w="109"/>
        <w:gridCol w:w="109"/>
        <w:gridCol w:w="109"/>
        <w:gridCol w:w="211"/>
        <w:gridCol w:w="677"/>
        <w:gridCol w:w="109"/>
        <w:gridCol w:w="109"/>
        <w:gridCol w:w="109"/>
        <w:gridCol w:w="109"/>
        <w:gridCol w:w="211"/>
        <w:gridCol w:w="376"/>
        <w:gridCol w:w="109"/>
        <w:gridCol w:w="109"/>
        <w:gridCol w:w="109"/>
        <w:gridCol w:w="109"/>
        <w:gridCol w:w="211"/>
        <w:gridCol w:w="422"/>
        <w:gridCol w:w="109"/>
        <w:gridCol w:w="109"/>
        <w:gridCol w:w="109"/>
        <w:gridCol w:w="109"/>
        <w:gridCol w:w="211"/>
        <w:gridCol w:w="422"/>
        <w:gridCol w:w="157"/>
      </w:tblGrid>
      <w:tr>
        <w:trPr/>
        <w:tc>
          <w:tcPr>
            <w:tcW w:w="124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88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eliminations and other net sales of $0.2 billion in 2025 compared to 2024 was primarily due to an increase in intersegment eliminations, principally driven by Collins. The change in eliminations and other operating profit of $0.1 billion in 2025 compared to 2024 was primarily due to gains related to the increase in fair value on investments recognized in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eliminations and other net sales of $0.3 billion in 2024 compared to 2023 was primarily due to an increase in intersegment eliminations, principally driven by Collins. Eliminations and other operating profit in 2024 was relatively consistent with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corporate expenses and other unallocated items of $0.7 billion in 2025 compared to 2024 was primarily due to the absence of a $0.9 billion charge related to the Resolution of Certain Legal Matters recorded in the second quarter of 2024 related to the Resolution of Certain Legal Matters, partially offset by higher selling, general and administrative expenses of $0.1 billion in 2025 and the absence of a $0.2 billion benefit from a tax related indemnity receivable recorded in the third quarter of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corporate expenses and other unallocated items of $0.7 billion in 2024 compared to 2023 was primarily due to 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$0.9 billion charge related to the Resolution of Certain Legal Matters recorded in the second quarter of 2024, partially offset by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$0.2 billion benefit from a tax related indemnity receivable recorded in the third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segment results of Raytheon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and Pratt &amp; Whitney generally include FAS service cost.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CAS expense calculation is different from the FAS requirements and calculation methodology. While the ultimate liability for pension costs under FAS and CAS is similar, the pattern of cost recognition is different. Our CAS pension expense is comprised primarily of CAS service cost and amortization amounts resulting from demographic or economic experience different than expected, changes in assumptions, or changes in plan provisions. Unlike FAS, CAS expense is only recognized for plans that are not fully funded on a CAS basis. Consequently, if plans become or cease to be fully funded under CAS due to our asset or liability experience, our CAS expense will change accordingly.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FAS/CAS operating adjustment were as follows:</w:t>
      </w:r>
    </w:p>
    <w:tbl>
      <w:tblPr>
        <w:tblW w:w="6026" w:type="dxa"/>
        <w:jc w:val="left"/>
        <w:tblInd w:w="0" w:type="dxa"/>
        <w:tblLayout w:type="fixed"/>
        <w:tblCellMar>
          <w:top w:w="28" w:type="dxa"/>
          <w:left w:w="28" w:type="dxa"/>
          <w:bottom w:w="28" w:type="dxa"/>
          <w:right w:w="28" w:type="dxa"/>
        </w:tblCellMar>
      </w:tblPr>
      <w:tblGrid>
        <w:gridCol w:w="968"/>
        <w:gridCol w:w="849"/>
        <w:gridCol w:w="852"/>
        <w:gridCol w:w="211"/>
        <w:gridCol w:w="541"/>
        <w:gridCol w:w="109"/>
        <w:gridCol w:w="109"/>
        <w:gridCol w:w="109"/>
        <w:gridCol w:w="109"/>
        <w:gridCol w:w="211"/>
        <w:gridCol w:w="541"/>
        <w:gridCol w:w="109"/>
        <w:gridCol w:w="109"/>
        <w:gridCol w:w="109"/>
        <w:gridCol w:w="109"/>
        <w:gridCol w:w="211"/>
        <w:gridCol w:w="61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service cost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our FAS/CAS operating adjustment of $0.1 billion in 2025 compared to 2024 was driven by a decrease in CAS expense, primarily due to increases in the applicable CAS discount rates and reductions in administrative expenses paid by the pension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our FAS/CAS operating adjustment of $0.3 billion in 2024 compared to 2023 was driven by a decrease in CAS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 primarily due to the recognition of historical CAS gain/loss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accounting adjustments include the amortization of acquired intangible assets related to acquisitions, the amortization of the property, plant, and equipment fair value adjustment acquired through acquisitions, the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 contractual obligations related to loss-making or below-market contracts acquired, and goodwill impairment, if applicable. These adjustments are not considered part of management’s evaluation of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Acquisition accounting adjustments were as follows:</w:t>
      </w:r>
    </w:p>
    <w:tbl>
      <w:tblPr>
        <w:tblW w:w="10205" w:type="dxa"/>
        <w:jc w:val="left"/>
        <w:tblInd w:w="0" w:type="dxa"/>
        <w:tblLayout w:type="fixed"/>
        <w:tblCellMar>
          <w:top w:w="28" w:type="dxa"/>
          <w:left w:w="28" w:type="dxa"/>
          <w:bottom w:w="28" w:type="dxa"/>
          <w:right w:w="28" w:type="dxa"/>
        </w:tblCellMar>
      </w:tblPr>
      <w:tblGrid>
        <w:gridCol w:w="2409"/>
        <w:gridCol w:w="2091"/>
        <w:gridCol w:w="2029"/>
        <w:gridCol w:w="211"/>
        <w:gridCol w:w="671"/>
        <w:gridCol w:w="109"/>
        <w:gridCol w:w="109"/>
        <w:gridCol w:w="109"/>
        <w:gridCol w:w="109"/>
        <w:gridCol w:w="211"/>
        <w:gridCol w:w="671"/>
        <w:gridCol w:w="109"/>
        <w:gridCol w:w="109"/>
        <w:gridCol w:w="109"/>
        <w:gridCol w:w="109"/>
        <w:gridCol w:w="211"/>
        <w:gridCol w:w="671"/>
        <w:gridCol w:w="158"/>
      </w:tblGrid>
      <w:tr>
        <w:trPr/>
        <w:tc>
          <w:tcPr>
            <w:tcW w:w="2409"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529"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6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property, plant, and equipment fair value adjustment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customer contractual obligations related to acquired loss-making and below-market contracts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related to acquisitions in each segment were as follows:</w:t>
      </w:r>
    </w:p>
    <w:tbl>
      <w:tblPr>
        <w:tblW w:w="6792" w:type="dxa"/>
        <w:jc w:val="left"/>
        <w:tblInd w:w="0" w:type="dxa"/>
        <w:tblLayout w:type="fixed"/>
        <w:tblCellMar>
          <w:top w:w="28" w:type="dxa"/>
          <w:left w:w="28" w:type="dxa"/>
          <w:bottom w:w="28" w:type="dxa"/>
          <w:right w:w="28" w:type="dxa"/>
        </w:tblCellMar>
      </w:tblPr>
      <w:tblGrid>
        <w:gridCol w:w="1110"/>
        <w:gridCol w:w="973"/>
        <w:gridCol w:w="977"/>
        <w:gridCol w:w="211"/>
        <w:gridCol w:w="691"/>
        <w:gridCol w:w="109"/>
        <w:gridCol w:w="109"/>
        <w:gridCol w:w="109"/>
        <w:gridCol w:w="109"/>
        <w:gridCol w:w="211"/>
        <w:gridCol w:w="691"/>
        <w:gridCol w:w="109"/>
        <w:gridCol w:w="109"/>
        <w:gridCol w:w="109"/>
        <w:gridCol w:w="109"/>
        <w:gridCol w:w="211"/>
        <w:gridCol w:w="691"/>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FINANCIAL CONDITION</w:t>
      </w:r>
    </w:p>
    <w:tbl>
      <w:tblPr>
        <w:tblW w:w="6663" w:type="dxa"/>
        <w:jc w:val="center"/>
        <w:tblInd w:w="0" w:type="dxa"/>
        <w:tblLayout w:type="fixed"/>
        <w:tblCellMar>
          <w:top w:w="28" w:type="dxa"/>
          <w:left w:w="28" w:type="dxa"/>
          <w:bottom w:w="28" w:type="dxa"/>
          <w:right w:w="28" w:type="dxa"/>
        </w:tblCellMar>
      </w:tblPr>
      <w:tblGrid>
        <w:gridCol w:w="1469"/>
        <w:gridCol w:w="1288"/>
        <w:gridCol w:w="1293"/>
        <w:gridCol w:w="211"/>
        <w:gridCol w:w="631"/>
        <w:gridCol w:w="301"/>
        <w:gridCol w:w="109"/>
        <w:gridCol w:w="109"/>
        <w:gridCol w:w="109"/>
        <w:gridCol w:w="211"/>
        <w:gridCol w:w="616"/>
        <w:gridCol w:w="316"/>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37,904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67,102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(total debt plus total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105,006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cash and cash equivalents of $7.4 billion, of which 33%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access global debt markets and the related cost of these borrowings depends on the strength of our credit rating and market conditions. In March 2025, our Moody’s Investors Service outlook improved from Baa1/negative to Baa1/stable. In June 2025, our S&amp;P Global rating was affirmed and our outlook was revised from BBB+/negative to BBB+/stable. Though the Company expects to continue having adequate access to funds, declines in our credit ratings or Company outlook could result in higher borrowing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 revolving credit agreement with various banks permitting aggregate borrowings of up to $5.0 billion, which expires in August 2028. As of December 31, 2025, there were no borrowings outstanding under this agreement. In addition, at December 31, 2025, approximately $0.6 billion was available under short-term lines of credit primarily with global banks at our international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December 31, 2025, our maximum commercial paper borrowing limit was $5.0 billion as the commercial paper is backed by our $5.0 billion revolving credit agreement. We had no commercial paper borrowings outstanding at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2025, we made the following repayments of long-term debt:</w:t>
      </w:r>
    </w:p>
    <w:tbl>
      <w:tblPr>
        <w:tblW w:w="8968" w:type="dxa"/>
        <w:jc w:val="left"/>
        <w:tblInd w:w="0" w:type="dxa"/>
        <w:tblLayout w:type="fixed"/>
        <w:tblCellMar>
          <w:top w:w="28" w:type="dxa"/>
          <w:left w:w="28" w:type="dxa"/>
          <w:bottom w:w="28" w:type="dxa"/>
          <w:right w:w="28" w:type="dxa"/>
        </w:tblCellMar>
      </w:tblPr>
      <w:tblGrid>
        <w:gridCol w:w="610"/>
        <w:gridCol w:w="537"/>
        <w:gridCol w:w="548"/>
        <w:gridCol w:w="1378"/>
        <w:gridCol w:w="1378"/>
        <w:gridCol w:w="1383"/>
        <w:gridCol w:w="664"/>
        <w:gridCol w:w="1986"/>
        <w:gridCol w:w="484"/>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3.950% notes due 2025</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413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48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We have an existing universal shelf registration statement, which we filed with the </w:t>
      </w:r>
      <w:r>
        <w:rPr>
          <w:rFonts w:ascii="Times New Roman;serif" w:hAnsi="Times New Roman;serif"/>
          <w:b w:val="false"/>
          <w:color w:val="212529"/>
          <w:sz w:val="20"/>
        </w:rPr>
        <w:t>SEC</w:t>
      </w:r>
      <w:r>
        <w:rPr>
          <w:color w:val="000000"/>
        </w:rPr>
        <w:t xml:space="preserve"> </w:t>
      </w:r>
      <w:r>
        <w:rPr>
          <w:rFonts w:ascii="Times New Roman;serif" w:hAnsi="Times New Roman;serif"/>
          <w:b w:val="false"/>
          <w:color w:val="000000"/>
          <w:sz w:val="20"/>
        </w:rPr>
        <w:t xml:space="preserve">on September 18, 2025, for an indeterminate amount of debt and equity securities for future issuance, subject to our internal limitations on the amount of debt to be issued under this shelf registration statement.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Operating Activities</w:t>
      </w:r>
    </w:p>
    <w:tbl>
      <w:tblPr>
        <w:tblW w:w="7572" w:type="dxa"/>
        <w:jc w:val="left"/>
        <w:tblInd w:w="0" w:type="dxa"/>
        <w:tblLayout w:type="fixed"/>
        <w:tblCellMar>
          <w:top w:w="28" w:type="dxa"/>
          <w:left w:w="28" w:type="dxa"/>
          <w:bottom w:w="28" w:type="dxa"/>
          <w:right w:w="28" w:type="dxa"/>
        </w:tblCellMar>
      </w:tblPr>
      <w:tblGrid>
        <w:gridCol w:w="1431"/>
        <w:gridCol w:w="1254"/>
        <w:gridCol w:w="1260"/>
        <w:gridCol w:w="211"/>
        <w:gridCol w:w="736"/>
        <w:gridCol w:w="109"/>
        <w:gridCol w:w="109"/>
        <w:gridCol w:w="109"/>
        <w:gridCol w:w="109"/>
        <w:gridCol w:w="211"/>
        <w:gridCol w:w="616"/>
        <w:gridCol w:w="109"/>
        <w:gridCol w:w="109"/>
        <w:gridCol w:w="109"/>
        <w:gridCol w:w="109"/>
        <w:gridCol w:w="211"/>
        <w:gridCol w:w="61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94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Compared with 2024 Operating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within Net income for 2024 was a $0.9 billion charge related to the Resolution of Certain Legal Matters and a $0.4 billion, net of tax, charge related to the Raytheon Contract Termination. During 2024, we paid a combined $1.5 billion related to the Resolution of Certain Legal Matters and the Raytheon Contract Termination.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$3.4 billion increase in cash flows provided by operating activities in 2025 compared to 2024 was primarily driven by higher net income after adjustments to reconcile to net cash provided by operating activities driven by our segment performance, an increase in accounts payable and accrued liabilities due to the timing of collaborator payables, and the benefit of lower inventory growth. These increases were partially offset by an increase in accounts receivable due to higher volume and timing of collections.</w:t>
      </w:r>
    </w:p>
    <w:p>
      <w:pPr>
        <w:pStyle w:val="TextBody"/>
        <w:bidi w:val="0"/>
        <w:spacing w:lineRule="auto" w:line="288" w:before="120" w:after="283"/>
        <w:jc w:val="both"/>
        <w:rPr/>
      </w:pPr>
      <w:r>
        <w:rPr>
          <w:rFonts w:ascii="Times New Roman;serif" w:hAnsi="Times New Roman;serif"/>
          <w:b w:val="false"/>
          <w:color w:val="000000"/>
          <w:sz w:val="20"/>
        </w:rPr>
        <w:t xml:space="preserve">The Company enters into various factoring agreements with third-party financial institutions to sell certain of its receivables, primarily related to customer facilitated programs. The activity pursuant to these agreements is generally dependent on underlying delivery volumes within our commercial OEM programs. Factoring activity resulted in a $0.1 billion decrease in cash provided by operating activities in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with 2023 Operating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in 2024 included charges of $0.9 billion related to the Resolution of Certain Legal Matters and $0.4 billion related to the Raytheon Contract Termination, net of tax. Net income in 2023 included a $2.2 billion charge related to the Powder Metal Matter, net of tax. The Powder Metal Matter also had the effect of increasing Other accrued liabilities by $2.8 billion in 2023. Utilization of Other accrued liabilities in 2024 related to this matter were $1.0 billion and represent cash paid and credits issued to customers. During 2024, we also paid a combined $1.5 billion related to the Resolution of Certain Legal Matters and the Raytheon Contract Termination.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favorable impact from accounts receivable collections, including the related impact of factoring as discussed below, and a favorable change in accounts payable and other accrued liabilities driven by timing of payments and an increase in material purchases, partially offset by the net change in contract assets and contract liabilities, primarily at Pratt &amp; Whitney, due to sales in excess of billings, contributed to an increase in net cash flows provided by operating activities in 2024 compared to 2023. Excluding the charges discussed above, higher net income after adjustments for depreciation and amortization, deferred income tax benefit, stock compensation cost, net periodic pension and other postretirement income, and gain on sale of CIS business, net of transaction costs also contributed to an increase in net cash flows provided by operating activities in 2024 compared to 2023, primarily driven by the operating performance of our segments.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factoring agreements with third-party financial institutions to sell certain of its receivables, primarily related to customer facilitated programs. The activity pursuant to these agreements is generally dependent on underlying delivery volumes within our commercial OEM programs. Factoring activity resulted in a $0.9 billion increase in cash provided by operating activities in 2024, compared to 2023.</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pPr>
      <w:r>
        <w:rPr>
          <w:rFonts w:ascii="Times New Roman;serif" w:hAnsi="Times New Roman;serif"/>
          <w:b w:val="false"/>
          <w:color w:val="000000"/>
          <w:sz w:val="20"/>
        </w:rPr>
        <w:t xml:space="preserve">We make both required and discretionary contributions to our pension plans. Required contributions are primarily determined by </w:t>
      </w:r>
      <w:r>
        <w:rPr>
          <w:rFonts w:ascii="Times New Roman;serif" w:hAnsi="Times New Roman;serif"/>
          <w:b w:val="false"/>
          <w:color w:val="212529"/>
          <w:sz w:val="20"/>
        </w:rPr>
        <w:t>Employee Retirement Income Security Act of 1974 (ERISA)</w:t>
      </w:r>
      <w:r>
        <w:rPr>
          <w:color w:val="000000"/>
        </w:rPr>
        <w:t xml:space="preserve"> </w:t>
      </w:r>
      <w:r>
        <w:rPr>
          <w:rFonts w:ascii="Times New Roman;serif" w:hAnsi="Times New Roman;serif"/>
          <w:b w:val="false"/>
          <w:color w:val="000000"/>
          <w:sz w:val="20"/>
        </w:rPr>
        <w:t xml:space="preserve">funding rules, which require us to fully fund our U.S. qualified pension plans over a rolling fifteen-year period as determined annually based on the calculated funded status at the beginning of each year per the Pension Protection Act of 2006 and subsequent amendments. The funding requirements are primarily based on the year’s expected service cost and amortization of other previously unfunded liabilities, which are dependent upon many factors, including returns on invested assets, the level of market interest rates, and actuarial assumptions.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Global pension and PRB cash funding requirements are expected to be approximately $0.3 billion in 2026, which includes benefit payments to be paid directly by the Company. We can contribute cash or RTX shares to our plans at our discretion, subject to applicable regulations. As of December 31, 2025, the total investment by the U.S. qualified pension plans in RTX shares was less than 1% of total plan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domestic defined contribution plan uses an Employee Stock Ownership Plan (ESOP) for certain employer matching contributions. In the fourth quarter of 2024, we expanded the use of ESOP shares to fund our matching contributions to additional participants who had previously received matching contributions in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net income tax payments of $1.6 billion, $1.2 billion, and $1.5 billion in 2025, 2024, and 2023, respectively. See “Note 12: Income Taxes” within Item 8 of this Form 10-K for further discussion.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cash flows from operating activities are payments related to our operating lease obligations. See “Note 11: Leases” within Item 8 of this Form 10-K for actual and expected payments on operating lease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majority of our cash flows for purchase obligations are classified as cash flows from operating activities. We expect future payments related to our purchase obligations to be approximately $47 billion, of which $29 billion is payable in 2026. Purchase obligations include current amounts committed for the purchase of goods and services under legally enforceable contracts or purchase orders, and do not represent our entire anticipated purchases in the future. Approximately 50% of our purchase obligations described above represent purchase orders for products to be delivered under firm contracts with the U.S. government for which we have full recourse under customary contract termination clauses.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In both 2025 and 2024, we utilized $1.0 billion of the accrual through cash payments and credits issued to customers. We currently estimate a full year 2026 cash impact related to the Powder Metal Matter of approximately $0.7 billion, which includes the impact of cash paid, customer credits applied and the timing of partner recovery.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Investing Activities</w:t>
      </w:r>
    </w:p>
    <w:tbl>
      <w:tblPr>
        <w:tblW w:w="7256" w:type="dxa"/>
        <w:jc w:val="left"/>
        <w:tblInd w:w="0" w:type="dxa"/>
        <w:tblLayout w:type="fixed"/>
        <w:tblCellMar>
          <w:top w:w="28" w:type="dxa"/>
          <w:left w:w="28" w:type="dxa"/>
          <w:bottom w:w="28" w:type="dxa"/>
          <w:right w:w="28" w:type="dxa"/>
        </w:tblCellMar>
      </w:tblPr>
      <w:tblGrid>
        <w:gridCol w:w="1278"/>
        <w:gridCol w:w="1121"/>
        <w:gridCol w:w="1125"/>
        <w:gridCol w:w="211"/>
        <w:gridCol w:w="691"/>
        <w:gridCol w:w="109"/>
        <w:gridCol w:w="109"/>
        <w:gridCol w:w="109"/>
        <w:gridCol w:w="109"/>
        <w:gridCol w:w="211"/>
        <w:gridCol w:w="691"/>
        <w:gridCol w:w="109"/>
        <w:gridCol w:w="109"/>
        <w:gridCol w:w="109"/>
        <w:gridCol w:w="109"/>
        <w:gridCol w:w="211"/>
        <w:gridCol w:w="69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5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 and designated net investment hedges.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$0.3 billion change in cash flows used in investing activities in 2025 compared to 2024 primarily related to higher receipts from settlements of derivative contracts of $0.3 billion. Also contributing to the change was a $0.1 billion increase in net proceeds received from divestitures. In 2025, we received $1.2 billion from the actuation and flight control business divestiture and $0.7 billion from the sale of the Simmonds Precision Products business as compared to $1.3 billion from the CIS divestiture and $0.5 billion from the Goodrich Hoist &amp; Winch divestiture in 2024.</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$1.5 billion change in cash flows used in investing activities in 2024 compared to 2023 primarily related to the cash proceeds from the sale of our CIS business within our Raytheon segment and the sale of our Goodrich Hoist &amp; Winch business within our Collins segment of approximately $1.3 billion and $0.5 billion,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acquisitions in 2025, 2024, or 2023. For information on dispositions of businesses in 2025, 2024, or 2023, see above and “Note 2: Acquisitions and Dispositions” within Item 8 of this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2024, and 2023 our intangible assets increased by $0.5 billion, $0.6 billion, and $0.8 billion, respectively, primarily related to collaboration payment commitments made under our 2012 agreement to acquire Rolls-Royce’s collaboration interests in International Aero Engines AG (IAE) and exclusivity payments made on contractual commitments included within intangible assets. At December 31, 2025, we had commercial aerospace financing and other contractual commitments, including exclusivity and collaboration payment commitments, of approximately $13.1 billion, on a gross basis before reduction for our collaboration partners’ share. Refer to “Note 17: Commitments and Contingencies” within Item 8 of this Form 10-K for further details on our commercial aerospace financing and other contractual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13: Financial Instruments” within Item 8 of this Form 10-K,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Financing Activities</w:t>
      </w:r>
    </w:p>
    <w:tbl>
      <w:tblPr>
        <w:tblW w:w="7272" w:type="dxa"/>
        <w:jc w:val="left"/>
        <w:tblInd w:w="0" w:type="dxa"/>
        <w:tblLayout w:type="fixed"/>
        <w:tblCellMar>
          <w:top w:w="28" w:type="dxa"/>
          <w:left w:w="28" w:type="dxa"/>
          <w:bottom w:w="28" w:type="dxa"/>
          <w:right w:w="28" w:type="dxa"/>
        </w:tblCellMar>
      </w:tblPr>
      <w:tblGrid>
        <w:gridCol w:w="1284"/>
        <w:gridCol w:w="1126"/>
        <w:gridCol w:w="1130"/>
        <w:gridCol w:w="211"/>
        <w:gridCol w:w="691"/>
        <w:gridCol w:w="109"/>
        <w:gridCol w:w="109"/>
        <w:gridCol w:w="109"/>
        <w:gridCol w:w="109"/>
        <w:gridCol w:w="211"/>
        <w:gridCol w:w="691"/>
        <w:gridCol w:w="109"/>
        <w:gridCol w:w="109"/>
        <w:gridCol w:w="109"/>
        <w:gridCol w:w="109"/>
        <w:gridCol w:w="211"/>
        <w:gridCol w:w="69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(7,486)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financing activities primarily include the issuance and repayment of commercial paper and other short-term and long-term debt, payment of dividends, and share repurchases.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$0.9 billion increase in cash flows used in financing activities in 2025 compared to the 2024 was primarily driven by higher year-over-year long-term debt repayments of $0.9 billion. Refer to “Note 9: Borrowings and Lines of Credit” within Item 8 of this Form 10-K for additional information on debt repayments. Additionally, lower share repurchases were more than offset by higher dividends paid in 2025 as compared to 2024.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$2.1 billion increase in cash flows used in financing activities in 2024 compared to 2023 was primarily driven by higher year-over-year long-term debt repayments of $1.9 billion. Prior year long-term debt proceeds of $12.9 billion were partially offset by lower year-over-year share repurchases of $12.4 billion, primarily related to the prior year ASR.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cash flows from financing activities are principal payments related to our long-term debt. A summary of our long-term debt commitments, including interest payments which are included in cash flows provided by operating activities, as of December 31, 2025 was as follows:</w:t>
      </w:r>
    </w:p>
    <w:tbl>
      <w:tblPr>
        <w:tblW w:w="7902" w:type="dxa"/>
        <w:jc w:val="left"/>
        <w:tblInd w:w="0" w:type="dxa"/>
        <w:tblLayout w:type="fixed"/>
        <w:tblCellMar>
          <w:top w:w="28" w:type="dxa"/>
          <w:left w:w="28" w:type="dxa"/>
          <w:bottom w:w="28" w:type="dxa"/>
          <w:right w:w="28" w:type="dxa"/>
        </w:tblCellMar>
      </w:tblPr>
      <w:tblGrid>
        <w:gridCol w:w="980"/>
        <w:gridCol w:w="858"/>
        <w:gridCol w:w="86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Thereafter</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debt—principal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debt—future interest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share repurchases were as follows for the years ended December 31:</w:t>
      </w:r>
    </w:p>
    <w:tbl>
      <w:tblPr>
        <w:tblW w:w="10205" w:type="dxa"/>
        <w:jc w:val="left"/>
        <w:tblInd w:w="0" w:type="dxa"/>
        <w:tblLayout w:type="fixed"/>
        <w:tblCellMar>
          <w:top w:w="28" w:type="dxa"/>
          <w:left w:w="28" w:type="dxa"/>
          <w:bottom w:w="28" w:type="dxa"/>
          <w:right w:w="28" w:type="dxa"/>
        </w:tblCellMar>
      </w:tblPr>
      <w:tblGrid>
        <w:gridCol w:w="1506"/>
        <w:gridCol w:w="1305"/>
        <w:gridCol w:w="1310"/>
        <w:gridCol w:w="109"/>
        <w:gridCol w:w="109"/>
        <w:gridCol w:w="109"/>
        <w:gridCol w:w="211"/>
        <w:gridCol w:w="376"/>
        <w:gridCol w:w="109"/>
        <w:gridCol w:w="240"/>
        <w:gridCol w:w="241"/>
        <w:gridCol w:w="196"/>
        <w:gridCol w:w="109"/>
        <w:gridCol w:w="109"/>
        <w:gridCol w:w="109"/>
        <w:gridCol w:w="211"/>
        <w:gridCol w:w="466"/>
        <w:gridCol w:w="109"/>
        <w:gridCol w:w="308"/>
        <w:gridCol w:w="308"/>
        <w:gridCol w:w="196"/>
        <w:gridCol w:w="109"/>
        <w:gridCol w:w="109"/>
        <w:gridCol w:w="109"/>
        <w:gridCol w:w="211"/>
        <w:gridCol w:w="721"/>
        <w:gridCol w:w="109"/>
        <w:gridCol w:w="413"/>
        <w:gridCol w:w="413"/>
        <w:gridCol w:w="265"/>
      </w:tblGrid>
      <w:tr>
        <w:trPr/>
        <w:tc>
          <w:tcPr>
            <w:tcW w:w="150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of common stock repurchased</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ASR Tranche 1 settlement - shares received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ASR Tranche 2 settlement - financing cash paid </w:t>
            </w:r>
            <w:r>
              <w:rPr>
                <w:rFonts w:ascii="Times New Roman;serif" w:hAnsi="Times New Roman;serif"/>
                <w:b w:val="false"/>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repurchased</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141,696 </w:t>
            </w:r>
          </w:p>
        </w:tc>
        <w:tc>
          <w:tcPr>
            <w:tcW w:w="2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Relates to share repurchases that were settled in cash during the year.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settlement of the ASR first and second tranches in the third quarter of 2024.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Excludes the change in fair value of the stock price from trade date to settlement date of $3 million, which is classified as an operating cash flow in our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ASR agreements entered into in 2023, the shares associated with the remaining portion of the aggregate purchase price have been settled over two tranches. In July 2024, the first tranche was settled upon final delivery to us of approximately 0.4 million shares of common stock. In September 2024, with respect to the second tranche, we owed approximately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2026, the Board of Directors declared a dividend of $0.68 per share payable March 19, 2026 to shareowners of record at the close of business on February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Consolidated Financial Statements, result primarily from the need to make estimates about the effects of matters that are inherently uncertain. The most significant areas involving management judgments and estimates are described below. Actual results in these areas could differ from management’s estimates.</w:t>
      </w:r>
    </w:p>
    <w:p>
      <w:pPr>
        <w:pStyle w:val="TextBody"/>
        <w:bidi w:val="0"/>
        <w:spacing w:lineRule="auto" w:line="288" w:before="120" w:after="283"/>
        <w:jc w:val="both"/>
        <w:rPr/>
      </w:pPr>
      <w:r>
        <w:rPr>
          <w:rFonts w:ascii="Times New Roman;serif" w:hAnsi="Times New Roman;serif"/>
          <w:b/>
          <w:color w:val="000000"/>
          <w:sz w:val="20"/>
        </w:rPr>
        <w:t xml:space="preserve">Long-Term Contract Accounting. </w:t>
      </w:r>
      <w:r>
        <w:rPr>
          <w:rFonts w:ascii="Times New Roman;serif" w:hAnsi="Times New Roman;serif"/>
          <w:b w:val="false"/>
          <w:color w:val="000000"/>
          <w:sz w:val="20"/>
        </w:rPr>
        <w:t xml:space="preserve">We recognize revenue on an over-time basis for substantially all defense contracts and certain long-term aerospace aftermarket contracts. We measure progress toward completion of these contracts on a percentage-of-completion basis, generally using costs incurred to date relative to total estimated costs at completion. Contract costs are incurred over a period of time, which can be several years, and the estimation of these costs requires management’s judgment. 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 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 had the following impact on our operating results:</w:t>
      </w:r>
    </w:p>
    <w:tbl>
      <w:tblPr>
        <w:tblW w:w="9174" w:type="dxa"/>
        <w:jc w:val="left"/>
        <w:tblInd w:w="0" w:type="dxa"/>
        <w:tblLayout w:type="fixed"/>
        <w:tblCellMar>
          <w:top w:w="28" w:type="dxa"/>
          <w:left w:w="28" w:type="dxa"/>
          <w:bottom w:w="28" w:type="dxa"/>
          <w:right w:w="28" w:type="dxa"/>
        </w:tblCellMar>
      </w:tblPr>
      <w:tblGrid>
        <w:gridCol w:w="1966"/>
        <w:gridCol w:w="1725"/>
        <w:gridCol w:w="173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common shareowners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earnings per share attributable to common shareowners </w:t>
            </w:r>
            <w:r>
              <w:rPr>
                <w:rFonts w:ascii="Times New Roman;serif" w:hAnsi="Times New Roman;serif"/>
                <w:b w:val="false"/>
                <w:color w:val="000000"/>
                <w:sz w:val="13"/>
              </w:rPr>
              <w:t>(1)</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reflect a U.S. statutory tax rate of 21%, which approximates our tax rate on our EAC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$0.1 billion primarily related to reserve and contract loss provision adjustments. Additionally, during the second quarter of 2024, Raytheon recognized a $0.6 billion charge related to the impact of the Raytheon Contract Termination. The charge included the write-off of remaining contract assets and the estimated settlement with the customer. The contract termination was completed and customer settlement occurred during the fourth quarter of 2024, in line with previously accrued amounts.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Costs incurred for engineering and development of certain aerospace products under contracts with customers are capitalized as contract fulfillment costs, to the extent recoverable from the associated contract margin and customer funding, and subsequently amortized as the products are delivered to the customer. The estimation of contract costs, and margin, considered as part of this recoverability assessment requires significant judgment. We regularly assess capitalized contract fulfillment costs for impairment. In 2024, we recognized impairment charges at Collins of approximately $0.2 billion due to a contract cancellation and $0.1 billion as a result of the impact of initiating alternative titanium sources. See “Note 1: Basis of Presentation and Summary of Accounting Principles” within Item 8 of this Form 10-K for further discussion.</w:t>
      </w:r>
    </w:p>
    <w:p>
      <w:pPr>
        <w:pStyle w:val="TextBody"/>
        <w:bidi w:val="0"/>
        <w:spacing w:lineRule="auto" w:line="288" w:before="120" w:after="283"/>
        <w:jc w:val="both"/>
        <w:rPr/>
      </w:pPr>
      <w:r>
        <w:rPr>
          <w:rFonts w:ascii="Times New Roman;serif" w:hAnsi="Times New Roman;serif"/>
          <w:b/>
          <w:color w:val="000000"/>
          <w:sz w:val="20"/>
        </w:rPr>
        <w:t xml:space="preserve">Income Taxes. </w:t>
      </w:r>
      <w:r>
        <w:rPr>
          <w:rFonts w:ascii="Times New Roman;serif" w:hAnsi="Times New Roman;serif"/>
          <w:b w:val="false"/>
          <w:color w:val="000000"/>
          <w:sz w:val="20"/>
        </w:rPr>
        <w:t>Management believes that our earnings during the periods when the temporary differences become deductible will be sufficient to realize the related future income tax benefits, which may be realized over an extended period of time. For those jurisdictions where the expiration date of tax carryforwards or the projected operating results indicate that realization is not likely, a valuation allowance is provided.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the need for a valuation allowance, we consider available positive and negative evidence including past operating results, projections of future taxable income, the feasibility of ongoing tax planning strategies, and the realizability of tax loss carryforwards. Our projections of future taxable income include estimates and assumptions regarding our volume, pricing, and costs, as well as the timing and amount of reversals of taxable temporary differences. Valuation allowances related to deferred tax assets can be affected by changes to tax laws, changes to statutory tax rates, and future taxable income levels. In the event we were to determine that we would not be able to realize all or a portion of our deferred tax assets in the future, we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reduce such amounts through an increase to tax expense in the period in which that determination is made or when tax law changes are enacted. Conversely, if we were to determine that we would be able to realize our deferred tax assets in the future in excess of the net carrying amounts, we would decrease the recorded valuation allowance through a decrease to tax expense in the period in which that determination is made.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there is inherent uncertainty in quantifying our income tax positions. Significant judgment is required when assessing our income tax positions and in determining our tax expense and benefits. Management assesses our tax positions based on an evaluation of the facts, circumstances, applicable tax laws, including regulations, case law, and other interpretive guidance, as well as any other relevant information. Adjustments to our tax positions are made as new information becomes available or when our assessments change. See “Note 1: Basis of Presentation and Summary of Accounting Principles” and “Note 12: Income Taxes” within Item 8 of this Form 10-K for further discussion.</w:t>
      </w:r>
    </w:p>
    <w:p>
      <w:pPr>
        <w:pStyle w:val="TextBody"/>
        <w:bidi w:val="0"/>
        <w:spacing w:lineRule="auto" w:line="288" w:before="120" w:after="283"/>
        <w:jc w:val="both"/>
        <w:rPr/>
      </w:pPr>
      <w:r>
        <w:rPr>
          <w:rFonts w:ascii="Times New Roman;serif" w:hAnsi="Times New Roman;serif"/>
          <w:b/>
          <w:color w:val="000000"/>
          <w:sz w:val="20"/>
        </w:rPr>
        <w:t xml:space="preserve">Goodwill and Intangible Assets. </w:t>
      </w:r>
      <w:r>
        <w:rPr>
          <w:rFonts w:ascii="Times New Roman;serif" w:hAnsi="Times New Roman;serif"/>
          <w:b w:val="false"/>
          <w:color w:val="000000"/>
          <w:sz w:val="20"/>
        </w:rPr>
        <w:t>The assets and liabilities of acquired businesses are recorded under the acquisition method of accounting at their estimated fair values at the dates of acquisition. Goodwill represents costs in excess of fair values assigned to the underlying identifiable net assets of acquired businesses. Intangible assets acquired in business combinations consist of patents, trademarks/tradenames, developed technology, customer relationships, and other intangible assets.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trademark and tradename intangible assets are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See “Note 1: Basis of Presentation and Summary of Accounting Principles” within Item 8 of this Form 10-K for further details.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Also included within intangible assets are exclusivity assets, which are payments made to secure certain contractual rights to provide products on new commercial aerospace platforms. At December 31, 2025, our exclusivity assets, net of accumulated amortization, were approximately $3.7 billion, and our remaining estimated commitments, net of collaborator share, were approximately $5.5 billion. We assess the recoverability of these intangibles, which is dependent upon our assumptions around the future success and profitability of the underlying aircraft platforms, including the associated aftermarket revenue streams, and the related future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intangible assets deemed to have indefinite lives are not amortized, but are subject to impairment testing annually, or more frequently if events or changes in circumstances indicate the asset might be impaired. The impairment test compares carrying values of the reporting units and indefinite-lived intangible assets to their estimated fair values. If the carrying value exceeds the fair value, then the carrying value is reduced to fair value. In testing our reporting units and indefinite-lived intangible assets for impairment, we may perform both qualitative and quantitative assessments. For the quantitative assessments that are performed for goodwill, we primarily utilize a combination of discounted cash flows and market-based valuation methodologies. For the quantitative assessments of indefinite-lived intangible assets, fair value is primarily based on the relief from royalty method. These quantitative assessments incorporate significant assumptions that include sales growth rates, projected operating profit, terminal growth rates, discount rates, royalty rates, and comparable multiples from publicly traded companies in our industry. Such assumptions are subject to variability from year to year and are directly impacted by, among other things, global market conditions.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our annual goodwill impairment testing as of October 1, 2025 and determined that no adjustments to the carrying value of goodwill were necessary. We assessed all of our reporting units using qualitative factors to determine whether it was more likely than not that any individual reporting unit’s fair value is less than its carrying value (step 0) and determined that no further testing was required.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continuously monitors and evaluates relevant events and circumstances that could unfavorably impact our significant assumptions used in testing goodwill,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our reporting units, could require the Company to record a non-cash impairment charge.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completed our annual indefinite-lived intangible assets impairment testing using a qualitative approach as of October 1, 2025 and determined that no adjustments to the carrying value of these assets were necessary. As noted above, our indefinite-lived intangible assets impairment analysis involves significant assumptions that are subject to variability. Material changes in these assumptions could occur and result in impairments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Contingent Liabilities. </w:t>
      </w:r>
      <w:r>
        <w:rPr>
          <w:rFonts w:ascii="Times New Roman;serif" w:hAnsi="Times New Roman;serif"/>
          <w:b w:val="false"/>
          <w:color w:val="000000"/>
          <w:sz w:val="20"/>
        </w:rPr>
        <w:t>As described in “Note 17: Commitments and Contingencies” within Item 8 of this Form 10-K, contractual, regulatory, and other matters in the normal course of business may arise that subject us to claims or litigation, including with respect to matters relating to technical issues on programs, government contracts, performance and operating cost guarantees, employee benefit plans, legal, and environmental, health, and safety matters. In particular, the design, development, production, and support of aerospace technologies is inherently complex and subject to risk. Technical issues associated with these technolog</w:t>
      </w:r>
      <w:r>
        <w:rPr>
          <w:rFonts w:ascii="Times New Roman;serif" w:hAnsi="Times New Roman;serif"/>
          <w:b w:val="false"/>
          <w:color w:val="000000"/>
          <w:sz w:val="20"/>
          <w:shd w:fill="FFFFFF" w:val="clear"/>
        </w:rPr>
        <w:t>ies may arise in the normal course and may result in financial impacts, including increased warranty provisions, customer contract settlements, and changes in contract performance e</w:t>
      </w:r>
      <w:r>
        <w:rPr>
          <w:rFonts w:ascii="Times New Roman;serif" w:hAnsi="Times New Roman;serif"/>
          <w:b w:val="false"/>
          <w:color w:val="000000"/>
          <w:sz w:val="20"/>
        </w:rPr>
        <w:t xml:space="preserve">stimates. These impacts could be material to the Company’s results of operations, financial condition, and liquidity. 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Estimating our liability based on both the likelihood of any adverse judgments or outcomes, and the costs associated with these matters, requires significant judgment. The inherent uncertainty related to the outcome of these matters could result in amounts materially different from any provisions made with respect to their resolution.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2023, Pratt &amp; Whitney determined that a rare condition in powder metal used to manufacture certain engine parts requires accelerated inspection of the PW1100 GTF fleet, which powers the A320neo. This determination was made pursuant to Pratt &amp; Whitney’s safety management system.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charge recorded in the third quarter of 2023 resulted in a net increase in Other accrued liabilities of $2.8 billion, which principally related to our 51% share of an accrual for expected customer compensation. At December 31, 2025 and 2024, we had other accrued liabilities of $0.7 billion and $1.7 billion, respectively, primarily related to expected compensation to customers. The decrease in the accrual in 2025 and 2024 was primarily due to customer compensation in the form of credits issued and cash paid to customers during the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erif" w:hAnsi="Times New Roman;serif"/>
          <w:b/>
          <w:color w:val="000000"/>
          <w:sz w:val="20"/>
        </w:rPr>
        <w:t>Employee Benefit Plans.</w:t>
      </w:r>
      <w:r>
        <w:rPr>
          <w:color w:val="000000"/>
        </w:rPr>
        <w:t xml:space="preserve"> </w:t>
      </w:r>
      <w:r>
        <w:rPr>
          <w:rFonts w:ascii="Times New Roman;serif" w:hAnsi="Times New Roman;serif"/>
          <w:b w:val="false"/>
          <w:color w:val="000000"/>
          <w:sz w:val="20"/>
        </w:rPr>
        <w:t xml:space="preserve">We sponsor domestic and foreign defined benefit pension and PRB plans. Assumptions used to calculate our funded status are determined based on company data and appropriate market indicators. They are evaluated annually at December 31 and when significant events require a mid-year remeasurement. A change in any of these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actual experience that differs from these assumptions are subject to recognition in pension and postretirement net periodic benefit (income) expense reported in the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Assumptions used in the accounting for these employee benefit plans require judgment. Major assumptions include the discount rate and expected return on planned assets (EROA). Other assumptions include actuarial and demographic assumptions including mortality rates, retirement age, and rate of increase in employee compensation levels.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discount rates used to measure pension and PRB liabilities are generally based on yield curves developed using high-quality corporate bonds which are subject to macroeconomic factors, as well as plan specific expected cash flows. For our significant plans, we utilize a full yield curve approach in the estimation of the service cost and interest cost components of net periodic pension income by applying the specific spot rates along the yield curve used in determination of the benefit obligation to the relevant discounted projected 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sensitivity of our pension and PRB plan liabilities and net periodic benefit income to a 25 basis point change in the discount rates for benefit obligations, interest cost, and service cost as of December 31, 2025:</w:t>
      </w:r>
    </w:p>
    <w:tbl>
      <w:tblPr>
        <w:tblW w:w="7913" w:type="dxa"/>
        <w:jc w:val="left"/>
        <w:tblInd w:w="0" w:type="dxa"/>
        <w:tblLayout w:type="fixed"/>
        <w:tblCellMar>
          <w:top w:w="28" w:type="dxa"/>
          <w:left w:w="28" w:type="dxa"/>
          <w:bottom w:w="28" w:type="dxa"/>
          <w:right w:w="28" w:type="dxa"/>
        </w:tblCellMar>
      </w:tblPr>
      <w:tblGrid>
        <w:gridCol w:w="1436"/>
        <w:gridCol w:w="1259"/>
        <w:gridCol w:w="1264"/>
        <w:gridCol w:w="109"/>
        <w:gridCol w:w="109"/>
        <w:gridCol w:w="109"/>
        <w:gridCol w:w="418"/>
        <w:gridCol w:w="970"/>
        <w:gridCol w:w="217"/>
        <w:gridCol w:w="109"/>
        <w:gridCol w:w="109"/>
        <w:gridCol w:w="109"/>
        <w:gridCol w:w="359"/>
        <w:gridCol w:w="1074"/>
        <w:gridCol w:w="262"/>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Increase in Discount </w:t>
              <w:br/>
              <w:t>Rate of 25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Decrease in Discount </w:t>
              <w:br/>
              <w:t>Rate of 25 bps</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increase (decrease)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increase (decrease)</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21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26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discount rate sensitivities assume no change in the shape of the yield curve that will be applied to the projected cash outflows for future benefit payments in order to calculate interest and service cost. A flattening of the yield curve results in a narrowing of the spread between interest and obligation discount rates and would decrease our net periodic benefit income. Conversely, a steepening of the yield curve would result in an increase in the spread between interest and obligation discount rates and would increase our net periodic benefit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EROA is the average rate of earnings expected over the long-term on assets invested to fund anticipated future benefit payment obligations. In determining the EROA assumption, we consider the target asset allocation of plan assets, as well as economic and other indicators of future performance. We consult with and consider the opinions of financial and other professionals in determining the appropriate capital market assumptions. Return projections are validated using a simulation model that incorporates yield curves, credit spreads, and risk premiums to project long-term prospective returns. Differences between actual asset returns in a given year and the EROA do not necessarily indicate a change in the assumption is required, as the EROA represents the expected average returns over a long-term horizon.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periodic benefit income is also sensitive to changes in the EROA. An increase or decrease of 25 basis points in the EROA would have increased or decreased our 2025 net periodic benefit income by approximately $130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10: Employee Benefit Plans” within Item 8 of this Form 10-K for discussion of current and prior year discount rate and EROA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ACCOUNTING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recent accounting pronouncements, see the Accounting Pronouncements section in “Note 1: Basis of Presentation and Summary of Accounting Principles” within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17: Commitments and Contingencies” within Item 8 of this Form 10-K for discussion on contractual commitments and contingencies.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GOVERNMENT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above in “Critical Accounting Estimates—Contingent Liabilities,” our contracts with the U.S. government are subject to audits. Such audits may recommend that certain contract prices should be reduced to comply with various government regulations, or that certain payments be delayed or withheld. We are also the subject of one or more investigations and legal proceedings initiated by the U.S. government with respect to government contract matters. In addition, as described in “Note 1: Basis of Presentation and Summary of Accounting Principles” within Item 8 of this Form 10-K, in 2024, the Company entered into a deferred prosecution agreement (DPA) with the Department of Justice (DOJ) and the Company settled an administrative proceeding with the SEC (the SEC Administrative Order) to resolve the previously disclosed criminal and civil government investigations into payments made by Raytheon Company and its joint venture, Thales-Raytheon Systems (TRS) since 2012, in connection with certain Middle East contracts. The Company also entered into a DPA and a FCA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 with the DOJ to resolve previously disclosed criminal and civil government investigations into defective pricing claims for certain legacy Raytheon Company contracts entered into between 2011 and 2013 and in 2017. Under these DPAs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the DPAs and the SEC Administrative Order, and that monitor is expected to be in place by the end of the first quarter.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U.S. Department of State (DOS). The CA, which has a three-year term, requires the Company to implement remedial compliance measures and to conduct an external audit of the Company’s ITAR compliance program. The CA also requires appointment of an external, independent Special Compliance Officer (SCO). The Company appointed its SCO on September 27, 2024. See “Note 17: Commitments and Contingencies” within Item 8 of this Form 10-K for further discussion of these and other government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both"/>
        <w:rPr/>
      </w:pPr>
      <w:r>
        <w:rPr>
          <w:rFonts w:ascii="Times New Roman;serif" w:hAnsi="Times New Roman;serif"/>
          <w:b w:val="false"/>
          <w:color w:val="000000"/>
          <w:sz w:val="20"/>
          <w:shd w:fill="FFFFFF" w:val="clear"/>
        </w:rPr>
        <w:t>Our primary market exposures are to fluctuations in foreign currency exchange rates and interest rates as it relates to our market risk sensitive instruments, which are primarily cash, debt, and derivative instruments.</w:t>
      </w:r>
      <w:r>
        <w:rPr>
          <w:color w:val="000000"/>
        </w:rPr>
        <w:t xml:space="preserve"> </w:t>
      </w:r>
      <w:r>
        <w:rPr>
          <w:rFonts w:ascii="Times New Roman;serif" w:hAnsi="Times New Roman;serif"/>
          <w:b w:val="false"/>
          <w:color w:val="000000"/>
          <w:sz w:val="20"/>
        </w:rPr>
        <w:t>To quantify our market risk exposure, we perform a sensitivity analysis based on hypothetical changes in foreign currency exchange rates and interest rates. Refer to “Note 1: Basis of Presentation and Summary of Accounting Principles,” “Note 9: Borrowings and Lines of Credit,” and “Note 13: Financial Instruments” within Item 8 of this Form 10-K for additional discussion of foreign currency exchange, interest rates, and financial instruments.</w:t>
      </w:r>
    </w:p>
    <w:p>
      <w:pPr>
        <w:pStyle w:val="TextBody"/>
        <w:bidi w:val="0"/>
        <w:spacing w:lineRule="auto" w:line="288" w:before="120" w:after="283"/>
        <w:jc w:val="both"/>
        <w:rPr/>
      </w:pPr>
      <w:r>
        <w:rPr>
          <w:rFonts w:ascii="Times New Roman;serif" w:hAnsi="Times New Roman;serif"/>
          <w:b/>
          <w:color w:val="000000"/>
          <w:sz w:val="20"/>
        </w:rPr>
        <w:t>Foreign Currency Exchange Rate Risk.</w:t>
      </w:r>
      <w:r>
        <w:rPr>
          <w:color w:val="000000"/>
        </w:rPr>
        <w:t xml:space="preserve"> </w:t>
      </w:r>
      <w:r>
        <w:rPr>
          <w:rFonts w:ascii="Times New Roman;serif" w:hAnsi="Times New Roman;serif"/>
          <w:b w:val="false"/>
          <w:color w:val="000000"/>
          <w:sz w:val="20"/>
          <w:shd w:fill="FFFFFF" w:val="clear"/>
        </w:rPr>
        <w:t>We are subject to foreign currency exchange rate risk relating to receipts from customers and payments to suppliers in foreign currencies and to various internal or external financing arrangements. We use foreign currency forward contracts to hedge the price risk associated with firmly committed and forecasted foreign denominated payments and receipts related to our ongoing business and financing.</w:t>
      </w:r>
      <w:r>
        <w:rPr>
          <w:color w:val="000000"/>
        </w:rPr>
        <w:t xml:space="preserve"> </w:t>
      </w:r>
      <w:r>
        <w:rPr>
          <w:rFonts w:ascii="Times New Roman;serif" w:hAnsi="Times New Roman;serif"/>
          <w:b w:val="false"/>
          <w:color w:val="000000"/>
          <w:sz w:val="20"/>
          <w:shd w:fill="FFFFFF" w:val="clear"/>
        </w:rPr>
        <w:t>We actively manage foreign currency exposures that are associated with commi</w:t>
      </w:r>
      <w:r>
        <w:rPr>
          <w:rFonts w:ascii="Times New Roman;serif" w:hAnsi="Times New Roman;serif"/>
          <w:b w:val="false"/>
          <w:color w:val="000000"/>
          <w:sz w:val="20"/>
        </w:rPr>
        <w:t>tted foreign currency purchases and sales, and other assets and liabilities created in the normal course of business at the operating unit level. More than insignificant exposures that cannot be naturally offset within or among operating units are hedged with foreign currency derivatives.</w:t>
      </w:r>
      <w:r>
        <w:rPr>
          <w:color w:val="000000"/>
          <w:shd w:fill="FFFFFF" w:val="clear"/>
        </w:rPr>
        <w:t xml:space="preserve"> </w:t>
      </w:r>
      <w:r>
        <w:rPr>
          <w:rFonts w:ascii="Times New Roman;serif" w:hAnsi="Times New Roman;serif"/>
          <w:b w:val="false"/>
          <w:color w:val="000000"/>
          <w:sz w:val="20"/>
        </w:rPr>
        <w:t xml:space="preserve">The Company also uses net investment hedging to hedge the foreign currency risk of our net investment in foreign operations against adverse movements in exchange rates against the </w:t>
      </w:r>
      <w:r>
        <w:rPr>
          <w:rFonts w:ascii="Times New Roman;serif" w:hAnsi="Times New Roman;serif"/>
          <w:b w:val="false"/>
          <w:color w:val="000000"/>
          <w:sz w:val="20"/>
          <w:shd w:fill="FFFFFF" w:val="clear"/>
        </w:rPr>
        <w:t>U.S. Dollar</w:t>
      </w:r>
      <w:r>
        <w:rPr>
          <w:rFonts w:ascii="Times New Roman;serif" w:hAnsi="Times New Roman;serif"/>
          <w:b w:val="false"/>
          <w:color w:val="000000"/>
          <w:sz w:val="20"/>
        </w:rPr>
        <w:t xml:space="preserve">. Foreign exchange exposures arising from intercompany loan and deposit transactions are also hedged regularly. </w:t>
      </w:r>
      <w:r>
        <w:rPr>
          <w:rFonts w:ascii="Times New Roman;serif" w:hAnsi="Times New Roman;serif"/>
          <w:b w:val="false"/>
          <w:color w:val="000000"/>
          <w:sz w:val="20"/>
          <w:shd w:fill="FFFFFF" w:val="clear"/>
        </w:rPr>
        <w:t xml:space="preserve">The present value of aggregate notional principal of our outstanding foreign currency hedges was $26 billion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$17 billion</w:t>
      </w:r>
      <w:r>
        <w:rPr>
          <w:color w:val="000000"/>
        </w:rPr>
        <w:t xml:space="preserve"> </w:t>
      </w:r>
      <w:r>
        <w:rPr>
          <w:rFonts w:ascii="Times New Roman;serif" w:hAnsi="Times New Roman;serif"/>
          <w:b w:val="false"/>
          <w:color w:val="000000"/>
          <w:sz w:val="20"/>
        </w:rPr>
        <w:t>at December 31, 2025 and 2024, respectively</w:t>
      </w:r>
      <w:r>
        <w:rPr>
          <w:rFonts w:ascii="Times New Roman;serif" w:hAnsi="Times New Roman;serif"/>
          <w:b w:val="false"/>
          <w:color w:val="000000"/>
          <w:sz w:val="20"/>
          <w:shd w:fill="FFFFFF" w:val="clear"/>
        </w:rPr>
        <w:t xml:space="preserve">. Foreign currency forward contracts are sensitive to changes in foreign currency exchange rates. A 10% unfavorable exchange rate movement in our portfolio of foreign currency contracts would have resulted in an increase in unrealized losses of </w:t>
      </w:r>
      <w:r>
        <w:rPr>
          <w:rFonts w:ascii="Times New Roman;serif" w:hAnsi="Times New Roman;serif"/>
          <w:b w:val="false"/>
          <w:color w:val="000000"/>
          <w:sz w:val="20"/>
        </w:rPr>
        <w:t>$0.9 billion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 billion at</w:t>
      </w:r>
      <w:r>
        <w:rPr>
          <w:color w:val="000000"/>
          <w:shd w:fill="FFFFFF" w:val="clear"/>
        </w:rPr>
        <w:t xml:space="preserve"> </w:t>
      </w:r>
      <w:r>
        <w:rPr>
          <w:rFonts w:ascii="Times New Roman;serif" w:hAnsi="Times New Roman;serif"/>
          <w:b w:val="false"/>
          <w:color w:val="000000"/>
          <w:sz w:val="20"/>
          <w:shd w:fill="FFFFFF" w:val="clear"/>
        </w:rPr>
        <w:t>December 31, 2025 and 2024, respectively. Such losses or gains would be offset by corresponding gains or losses in the remeasurement of the underlying transactions and balances being hedged. We believe these foreign currency forward exchange contracts and the offsetting underlying commitments, when taken together, do not create material market risk.</w:t>
      </w:r>
    </w:p>
    <w:p>
      <w:pPr>
        <w:pStyle w:val="TextBody"/>
        <w:bidi w:val="0"/>
        <w:spacing w:lineRule="auto" w:line="288" w:before="120" w:after="283"/>
        <w:jc w:val="both"/>
        <w:rPr/>
      </w:pPr>
      <w:r>
        <w:rPr>
          <w:rFonts w:ascii="Times New Roman;serif" w:hAnsi="Times New Roman;serif"/>
          <w:b w:val="false"/>
          <w:color w:val="000000"/>
          <w:sz w:val="20"/>
          <w:shd w:fill="FFFFFF" w:val="clear"/>
        </w:rPr>
        <w:t>Our sales are typically denominated in U.S. Dollars. However, for our non-U.S. based entities, including Pratt &amp; Whitney Canada, a substantial portion of their costs are incurred in local currencies. Consequently, there is a foreign currency exchange impact and risk to operational results as U.S. Dollars must be converted to local currencies such as the Canadian Dollar in order to meet local currency cost obligations. Additionally, we transact business in various foreign currencies which exposes our cash flows and earnings to changes in foreign currency exchange rates. In order to minimize the exposure that exists from changes in the exchange rate of the U.S. Dollar against these other currencies, we hedge a certain portion of sales to secure the rates at which U.S. Dollars will be converted. At Pratt &amp; Whitney Canada and Collins Aerospace, firm and forecasted sales for both original equipment and spare parts are hedged at varying amounts on the U.S. Dollar sales exposure as represented by the excess of U.S. Dollar sales over U.S. Dollar denominated purchases. At Raytheon, portions of the cost to deliver a program may be denominated in a currency other than the currency of sale, and forecasts of such costs are frequently hedged to reduce foreign exchange exposures that can impact the cost of delivery of such programs. Where sales of a Raytheon program are denominated in a currency other than the functional currency of the contracting affiliate, forecasted sales for that program may be hedged to minimize the resulting foreign exchange exposure for that affiliate. Hedging gains and losses resulting from movements in foreign currency exchange rates are partially offset by the foreign currency translation impacts that are generated on the translation of local currency operating results into U.S. Dollars for reporting purposes. While the objective of the hedging program is to minimize the foreign curren</w:t>
      </w:r>
      <w:r>
        <w:rPr>
          <w:rFonts w:ascii="Times New Roman;serif" w:hAnsi="Times New Roman;serif"/>
          <w:b w:val="false"/>
          <w:color w:val="000000"/>
          <w:sz w:val="20"/>
        </w:rPr>
        <w:t xml:space="preserve">cy exchange impact on operating results, there are typically variances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between the hedging gains or losses and the translational impact due to the length of hedging contracts, changes in the sales profile, volatility in the exchange rates, and other such operational considerations.</w:t>
      </w:r>
    </w:p>
    <w:p>
      <w:pPr>
        <w:pStyle w:val="TextBody"/>
        <w:bidi w:val="0"/>
        <w:spacing w:lineRule="auto" w:line="288" w:before="120" w:after="283"/>
        <w:jc w:val="both"/>
        <w:rPr/>
      </w:pPr>
      <w:r>
        <w:rPr>
          <w:rFonts w:ascii="Times New Roman;serif" w:hAnsi="Times New Roman;serif"/>
          <w:b/>
          <w:color w:val="000000"/>
          <w:sz w:val="20"/>
        </w:rPr>
        <w:t>Interest Rate Risk.</w:t>
      </w:r>
      <w:r>
        <w:rPr>
          <w:color w:val="000000"/>
        </w:rPr>
        <w:t xml:space="preserve"> </w:t>
      </w:r>
      <w:r>
        <w:rPr>
          <w:rFonts w:ascii="Times New Roman;serif" w:hAnsi="Times New Roman;serif"/>
          <w:b w:val="false"/>
          <w:color w:val="000000"/>
          <w:sz w:val="20"/>
          <w:shd w:fill="FFFFFF" w:val="clear"/>
        </w:rPr>
        <w:t xml:space="preserve">We have financial instruments that are subject to interest rate risk, principally fixed-rate debt obligations. A 100 basis point unfavorable interest rate movement would have had an approximate </w:t>
      </w:r>
      <w:r>
        <w:rPr>
          <w:rFonts w:ascii="Times New Roman;serif" w:hAnsi="Times New Roman;serif"/>
          <w:b w:val="false"/>
          <w:color w:val="000000"/>
          <w:sz w:val="20"/>
        </w:rPr>
        <w:t>$3 billion i</w:t>
      </w:r>
      <w:r>
        <w:rPr>
          <w:rFonts w:ascii="Times New Roman;serif" w:hAnsi="Times New Roman;serif"/>
          <w:b w:val="false"/>
          <w:color w:val="000000"/>
          <w:sz w:val="20"/>
          <w:shd w:fill="FFFFFF" w:val="clear"/>
        </w:rPr>
        <w:t xml:space="preserve">mpact on the fair value of our fixed-rate debt at both December 31, 2025 and 2024. The investors in our fixed-rate debt obligations generally do not have the right to demand we pay off these obligations prior to maturity. Therefore, we believe our exposure to interest rate risk on our fixed-rate debt is not material. We also have variable-rate debt, including $0.9 billion of term loans outstanding, which is affected by changes in market interest rates. A 100 basis point unfavorable interest rate movement on variable debt would not be expected to have a material effect on our operations or cash flows. </w:t>
      </w:r>
      <w:r>
        <w:rPr>
          <w:rFonts w:ascii="Times New Roman;serif" w:hAnsi="Times New Roman;serif"/>
          <w:b w:val="false"/>
          <w:color w:val="000000"/>
          <w:sz w:val="20"/>
        </w:rPr>
        <w:t>From time to time, we may hedge to floating rates using interest rate swaps. Currently, we do not hold any derivative contracts that hedge our interest exposures, but may consider such strategies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of RTX Corporation (RTX)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 Because of its inherent limitations, internal control over financial reporting may not prevent or detect misstatements. </w:t>
      </w:r>
    </w:p>
    <w:p>
      <w:pPr>
        <w:pStyle w:val="TextBody"/>
        <w:bidi w:val="0"/>
        <w:spacing w:lineRule="auto" w:line="288" w:before="120" w:after="283"/>
        <w:jc w:val="both"/>
        <w:rPr/>
      </w:pPr>
      <w:r>
        <w:rPr>
          <w:rFonts w:ascii="Times New Roman;serif" w:hAnsi="Times New Roman;serif"/>
          <w:b w:val="false"/>
          <w:color w:val="000000"/>
          <w:sz w:val="20"/>
        </w:rPr>
        <w:t xml:space="preserve">Management has assessed the effectiveness of RTX’s internal control over financial reporting as of December 31, 2025. In making its assessment, management has utilized the criteria set forth by the Committee of Sponsoring Organizations of the Treadway Commission in its </w:t>
      </w:r>
      <w:r>
        <w:rPr>
          <w:rFonts w:ascii="Times New Roman;serif" w:hAnsi="Times New Roman;serif"/>
          <w:b w:val="false"/>
          <w:i/>
          <w:color w:val="000000"/>
          <w:sz w:val="20"/>
        </w:rPr>
        <w:t>Internal Control—Integrated Framework</w:t>
      </w:r>
      <w:r>
        <w:rPr>
          <w:rFonts w:ascii="Times New Roman;serif" w:hAnsi="Times New Roman;serif"/>
          <w:b w:val="false"/>
          <w:color w:val="000000"/>
          <w:sz w:val="20"/>
        </w:rPr>
        <w:t>, released in 2013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Management concluded that based on its assessment, RTX’s internal control over financial reporting was effective as of December 31, 2025. The effectiveness of RTX’s internal control over financial reporting, as of December 31, 2025, has been audited by PricewaterhouseCoopers LLP, an independent registered public accounting firm, as stated in their report which is included herein.</w:t>
      </w:r>
    </w:p>
    <w:tbl>
      <w:tblPr>
        <w:tblW w:w="4782" w:type="dxa"/>
        <w:jc w:val="left"/>
        <w:tblInd w:w="0" w:type="dxa"/>
        <w:tblLayout w:type="fixed"/>
        <w:tblCellMar>
          <w:top w:w="28" w:type="dxa"/>
          <w:left w:w="28" w:type="dxa"/>
          <w:bottom w:w="28" w:type="dxa"/>
          <w:right w:w="28" w:type="dxa"/>
        </w:tblCellMar>
      </w:tblPr>
      <w:tblGrid>
        <w:gridCol w:w="1592"/>
        <w:gridCol w:w="1405"/>
        <w:gridCol w:w="1413"/>
        <w:gridCol w:w="109"/>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To the</w:t>
      </w:r>
      <w:r>
        <w:rPr>
          <w:color w:val="000000"/>
        </w:rPr>
        <w:t xml:space="preserve"> </w:t>
      </w:r>
      <w:r>
        <w:rPr>
          <w:rFonts w:ascii="Times New Roman;serif" w:hAnsi="Times New Roman;serif"/>
          <w:b w:val="false"/>
          <w:color w:val="000000"/>
          <w:sz w:val="20"/>
        </w:rPr>
        <w:t>Shareowners and Board of Directors of RTX Corporation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audited the accompanying consolidated balance sheets of RTX Corporation and its subsidiaries (the “Company”) as of December 31, 2025 and 2024, and the related consolidated statements of operations, of comprehensive income, of changes in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r>
        <w:rPr>
          <w:color w:val="212529"/>
        </w:rPr>
        <w:t xml:space="preserve"> </w:t>
      </w:r>
      <w:r>
        <w:rPr>
          <w:rFonts w:ascii="Times New Roman;serif" w:hAnsi="Times New Roman;serif"/>
          <w:b w:val="false"/>
          <w:color w:val="000000"/>
          <w:sz w:val="20"/>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w:t>
      </w:r>
      <w:r>
        <w:rPr>
          <w:color w:val="000000"/>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 - Contract Estimates at Completion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 1 to the consolidated financial statements, the majority of the Company’s revenues of $88.6 billion for the year ended December 31, 2025, are from long-term contracts associated with the design, development, manufacture or modification of complex aerospace or defense equipment or related services. The Collins and Pratt &amp; Whitney segments primarily serve commercial and government customers in both the original equipment manufacturer and aftermarket parts and services markets of the aerospace industry, while the Raytheon segment primarily provides products and services to government customers in the defense industry. For certain long-term aftermarket contracts, revenue is recognized over the contract period, and the Company generally accounts for such contracts as a series of daily performance obligations to stand ready to provide spare parts, product maintenance and aftermarket services. Substantially all of the defense business revenue is recognized over time because of the continuous transfer of control to customers. For performance obligations satisfied over time, revenue is recognized on a percentage-of-completion basis generally using costs incurred to date relative to total estimated costs at completion to measure progress. Incurred costs represent work performed, which correspond with and best depict transfer of control to the customer. Management reviews the estimated costs at completion at least annually or when a change in circumstances warrants a modification to a previous estimate. Due to the nature of the work required to be performed on many of the Company’s performance obligations, the estimation of total revenue and cost at completion is complex, subject to many inputs and requires significant judgment by management on a contract-by-contract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its subcontractors, the availability and timing of funding from the customer, overhead cost rates, and current and past maintenance cost and frequency driven by estimated aircraft and engine utilization and estimated useful lives of components, among others. 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the 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revenue recognition - contract estimates at completion is a critical audit matter are (i) the significant judgment by management in developing the estimates of total revenue and total costs at completion, including significant judgments and assumptions on a contract-by-contract basis, and (ii) a high degree of auditor judgment, subjectivity, and effort in performing procedures and evaluating audit evidence related to management’s estimates of total revenue and total costs at completion for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estimates of total revenue and total costs at completion. These procedures also included, among others, testing management’s process for developing the estimated total revenue and total costs at completion, including evaluating on a test basis the reasonableness of certain significant judgments and inputs considered by management specific to each contract or performance obligation. Evaluating the significant judgments and assumptions related to the estimates of total revenue and total costs at completion on a contract-by-contract basis involved evaluating whether the significant judgments and assumptions used were reasonable considering: (i) management’s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forecasting accuracy, (ii) evidence to support the aforementioned inputs relevant to an individual contract, (iii) the consistent application of accounting policies, and (iv) the timely identification of circumstances which may warrant a modification to a previous estimate.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76" w:before="0" w:after="0"/>
        <w:jc w:val="left"/>
        <w:rPr>
          <w:rFonts w:ascii="Times New Roman;serif" w:hAnsi="Times New Roman;serif"/>
          <w:b w:val="false"/>
          <w:color w:val="2D2D2D"/>
          <w:sz w:val="20"/>
          <w:shd w:fill="FFFFFF" w:val="clear"/>
        </w:rPr>
      </w:pPr>
      <w:r>
        <w:rPr>
          <w:rFonts w:ascii="Times New Roman;serif" w:hAnsi="Times New Roman;serif"/>
          <w:b w:val="false"/>
          <w:color w:val="2D2D2D"/>
          <w:sz w:val="20"/>
          <w:shd w:fill="FFFFFF" w:val="clear"/>
        </w:rPr>
        <w:t>February 6,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1947.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 OF OPERATIONS</w:t>
      </w:r>
    </w:p>
    <w:tbl>
      <w:tblPr>
        <w:tblW w:w="8859" w:type="dxa"/>
        <w:jc w:val="left"/>
        <w:tblInd w:w="0" w:type="dxa"/>
        <w:tblLayout w:type="fixed"/>
        <w:tblCellMar>
          <w:top w:w="28" w:type="dxa"/>
          <w:left w:w="28" w:type="dxa"/>
          <w:bottom w:w="28" w:type="dxa"/>
          <w:right w:w="28" w:type="dxa"/>
        </w:tblCellMar>
      </w:tblPr>
      <w:tblGrid>
        <w:gridCol w:w="1701"/>
        <w:gridCol w:w="1491"/>
        <w:gridCol w:w="1503"/>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 in subsidiaries’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1,356.4</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 OF COMPREHENSIVE INCOME</w:t>
      </w:r>
    </w:p>
    <w:tbl>
      <w:tblPr>
        <w:tblW w:w="9474" w:type="dxa"/>
        <w:jc w:val="left"/>
        <w:tblInd w:w="0" w:type="dxa"/>
        <w:tblLayout w:type="fixed"/>
        <w:tblCellMar>
          <w:top w:w="28" w:type="dxa"/>
          <w:left w:w="28" w:type="dxa"/>
          <w:bottom w:w="28" w:type="dxa"/>
          <w:right w:w="28" w:type="dxa"/>
        </w:tblCellMar>
      </w:tblPr>
      <w:tblGrid>
        <w:gridCol w:w="2039"/>
        <w:gridCol w:w="1789"/>
        <w:gridCol w:w="1797"/>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203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 arising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arising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 and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of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shareowners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w:t>
      </w:r>
    </w:p>
    <w:tbl>
      <w:tblPr>
        <w:tblW w:w="10205" w:type="dxa"/>
        <w:jc w:val="left"/>
        <w:tblInd w:w="0" w:type="dxa"/>
        <w:tblLayout w:type="fixed"/>
        <w:tblCellMar>
          <w:top w:w="28" w:type="dxa"/>
          <w:left w:w="28" w:type="dxa"/>
          <w:bottom w:w="28" w:type="dxa"/>
          <w:right w:w="28" w:type="dxa"/>
        </w:tblCellMar>
      </w:tblPr>
      <w:tblGrid>
        <w:gridCol w:w="2655"/>
        <w:gridCol w:w="2267"/>
        <w:gridCol w:w="2276"/>
        <w:gridCol w:w="109"/>
        <w:gridCol w:w="109"/>
        <w:gridCol w:w="109"/>
        <w:gridCol w:w="211"/>
        <w:gridCol w:w="841"/>
        <w:gridCol w:w="109"/>
        <w:gridCol w:w="109"/>
        <w:gridCol w:w="109"/>
        <w:gridCol w:w="109"/>
        <w:gridCol w:w="211"/>
        <w:gridCol w:w="826"/>
        <w:gridCol w:w="155"/>
      </w:tblGrid>
      <w:tr>
        <w:trPr/>
        <w:tc>
          <w:tcPr>
            <w:tcW w:w="265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7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financing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Equity</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currently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Shareowners’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 par value; 250,000 shares authorized; None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 par value; 4,000,000 shares authorized; 1,725,312 and 1,718,756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383,025 and 386,633 common shares at average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shareowners’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 and equity</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171,079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 OF CASH FLOWS</w:t>
      </w:r>
    </w:p>
    <w:tbl>
      <w:tblPr>
        <w:tblW w:w="10205" w:type="dxa"/>
        <w:jc w:val="left"/>
        <w:tblInd w:w="0" w:type="dxa"/>
        <w:tblLayout w:type="fixed"/>
        <w:tblCellMar>
          <w:top w:w="28" w:type="dxa"/>
          <w:left w:w="28" w:type="dxa"/>
          <w:bottom w:w="28" w:type="dxa"/>
          <w:right w:w="28" w:type="dxa"/>
        </w:tblCellMar>
      </w:tblPr>
      <w:tblGrid>
        <w:gridCol w:w="2421"/>
        <w:gridCol w:w="2075"/>
        <w:gridCol w:w="2083"/>
        <w:gridCol w:w="109"/>
        <w:gridCol w:w="109"/>
        <w:gridCol w:w="109"/>
        <w:gridCol w:w="196"/>
        <w:gridCol w:w="571"/>
        <w:gridCol w:w="109"/>
        <w:gridCol w:w="109"/>
        <w:gridCol w:w="109"/>
        <w:gridCol w:w="109"/>
        <w:gridCol w:w="196"/>
        <w:gridCol w:w="556"/>
        <w:gridCol w:w="109"/>
        <w:gridCol w:w="109"/>
        <w:gridCol w:w="109"/>
        <w:gridCol w:w="109"/>
        <w:gridCol w:w="196"/>
        <w:gridCol w:w="556"/>
        <w:gridCol w:w="156"/>
      </w:tblGrid>
      <w:tr>
        <w:trPr/>
        <w:tc>
          <w:tcPr>
            <w:tcW w:w="2421"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periodic pension and other postretirement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401(k) matching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Cybersecurity, Intelligence and Services (CIS) business, net of transaction costs (Note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customer financing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Receipts from customer financing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 of businesses, net of cash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Receipts (payments) from settlements of derivative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bridge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bridge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commercial paper, net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used in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 included in Other assets, current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Supplemental Disclosure of Cash Flow Information:</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 of refunds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 OF CHANGES IN EQUITY</w:t>
      </w:r>
    </w:p>
    <w:tbl>
      <w:tblPr>
        <w:tblW w:w="8829" w:type="dxa"/>
        <w:jc w:val="left"/>
        <w:tblInd w:w="0" w:type="dxa"/>
        <w:tblLayout w:type="fixed"/>
        <w:tblCellMar>
          <w:top w:w="28" w:type="dxa"/>
          <w:left w:w="28" w:type="dxa"/>
          <w:bottom w:w="28" w:type="dxa"/>
          <w:right w:w="28" w:type="dxa"/>
        </w:tblCellMar>
      </w:tblPr>
      <w:tblGrid>
        <w:gridCol w:w="1787"/>
        <w:gridCol w:w="1571"/>
        <w:gridCol w:w="1577"/>
        <w:gridCol w:w="109"/>
        <w:gridCol w:w="109"/>
        <w:gridCol w:w="109"/>
        <w:gridCol w:w="196"/>
        <w:gridCol w:w="661"/>
        <w:gridCol w:w="109"/>
        <w:gridCol w:w="109"/>
        <w:gridCol w:w="109"/>
        <w:gridCol w:w="109"/>
        <w:gridCol w:w="196"/>
        <w:gridCol w:w="646"/>
        <w:gridCol w:w="109"/>
        <w:gridCol w:w="109"/>
        <w:gridCol w:w="109"/>
        <w:gridCol w:w="109"/>
        <w:gridCol w:w="196"/>
        <w:gridCol w:w="646"/>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at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plans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401(k)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contributed to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subsidiary shares from noncontrolling interest,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401(k)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contributed to defined benefit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ESOP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Unearned ESOP 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401(k)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(purchase) of subsidiary shares from noncontrolling interest,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 of noncontrolling interest,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at December 31</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67,102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29" w:type="dxa"/>
            <w:gridSpan w:val="21"/>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share information</w:t>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issued under employee plans,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shares reissued related to 401(k) matching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contributed to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 of common stock</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2.670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 AND SUMMARY OF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requires management to make estimates and assumptions that affect the reported amounts of assets, liabilities, revenues, and expenses. Actual results could differ from those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requires, the terms “we,” “our,” “us,” “the Company,” and “RTX” mean RTX Corporation and its subsidiaries.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reclassified certain immaterial prior period amounts within our Consolidated Statement of Cash Flows and Consolidated Statement of Changes in Equity related to our share-based 401(k) matching contributions to conform to our current period presentation.</w:t>
      </w:r>
    </w:p>
    <w:p>
      <w:pPr>
        <w:pStyle w:val="TextBody"/>
        <w:bidi w:val="0"/>
        <w:spacing w:lineRule="auto" w:line="288" w:before="120" w:after="283"/>
        <w:jc w:val="both"/>
        <w:rPr/>
      </w:pPr>
      <w:r>
        <w:rPr>
          <w:rFonts w:ascii="Times New Roman;serif" w:hAnsi="Times New Roman;serif"/>
          <w:b/>
          <w:color w:val="000000"/>
          <w:sz w:val="20"/>
        </w:rPr>
        <w:t>Legal Matters.</w:t>
      </w:r>
      <w:r>
        <w:rPr>
          <w:color w:val="000000"/>
        </w:rPr>
        <w:t xml:space="preserve"> </w:t>
      </w:r>
      <w:r>
        <w:rPr>
          <w:rFonts w:ascii="Times New Roman;serif" w:hAnsi="Times New Roman;serif"/>
          <w:b w:val="false"/>
          <w:color w:val="000000"/>
          <w:sz w:val="20"/>
        </w:rPr>
        <w:t>As previously disclosed, in 2024 the Company resolved several outstanding legal matters, herein referred to as “Resolution of Certain Legal Matters.” See “Note 17: Commitments and Contingencies” for additional information.</w:t>
      </w:r>
    </w:p>
    <w:p>
      <w:pPr>
        <w:pStyle w:val="TextBody"/>
        <w:bidi w:val="0"/>
        <w:spacing w:lineRule="auto" w:line="288" w:before="120" w:after="283"/>
        <w:jc w:val="both"/>
        <w:rPr/>
      </w:pPr>
      <w:r>
        <w:rPr>
          <w:rFonts w:ascii="Times New Roman;serif" w:hAnsi="Times New Roman;serif"/>
          <w:b/>
          <w:color w:val="000000"/>
          <w:sz w:val="20"/>
        </w:rPr>
        <w:t>Russia Sanctions.</w:t>
      </w:r>
      <w:r>
        <w:rPr>
          <w:color w:val="000000"/>
        </w:rPr>
        <w:t xml:space="preserve"> </w:t>
      </w:r>
      <w:r>
        <w:rPr>
          <w:rFonts w:ascii="Times New Roman;serif" w:hAnsi="Times New Roman;serif"/>
          <w:b w:val="false"/>
          <w:color w:val="000000"/>
          <w:sz w:val="20"/>
        </w:rPr>
        <w:t xml:space="preserve">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Aerospace (Collins) segment. These charges are primarily related to the recognition of unfavorable purchase commitments and an impairment of contract fulfillment costs that are no longer recoverable as a result of initiating alternative titanium sources. We continue to monitor developments, including additional sanctions and other measures, that could adversely affect the Company and/or our supply chain, business partners, or customers. </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In 2023, 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 See “Note 17: Commitments and Contingencies” for additional information.</w:t>
      </w:r>
    </w:p>
    <w:p>
      <w:pPr>
        <w:pStyle w:val="TextBody"/>
        <w:bidi w:val="0"/>
        <w:spacing w:lineRule="auto" w:line="288" w:before="120" w:after="283"/>
        <w:jc w:val="left"/>
        <w:rPr/>
      </w:pPr>
      <w:r>
        <w:rPr>
          <w:rFonts w:ascii="Times New Roman;serif" w:hAnsi="Times New Roman;serif"/>
          <w:b/>
          <w:color w:val="000000"/>
          <w:sz w:val="20"/>
        </w:rPr>
        <w:t>Summary of Accounting Principles.</w:t>
      </w:r>
      <w:r>
        <w:rPr>
          <w:color w:val="000000"/>
        </w:rPr>
        <w:t xml:space="preserve"> </w:t>
      </w:r>
      <w:r>
        <w:rPr>
          <w:rFonts w:ascii="Times New Roman;serif" w:hAnsi="Times New Roman;serif"/>
          <w:b w:val="false"/>
          <w:color w:val="000000"/>
          <w:sz w:val="20"/>
        </w:rPr>
        <w:t xml:space="preserve">The following represents the significant accounting principles of RTX Corporation. </w:t>
      </w:r>
    </w:p>
    <w:p>
      <w:pPr>
        <w:pStyle w:val="TextBody"/>
        <w:bidi w:val="0"/>
        <w:spacing w:lineRule="auto" w:line="288" w:before="120" w:after="283"/>
        <w:jc w:val="both"/>
        <w:rPr/>
      </w:pPr>
      <w:r>
        <w:rPr>
          <w:rFonts w:ascii="Times New Roman;serif" w:hAnsi="Times New Roman;serif"/>
          <w:b w:val="false"/>
          <w:i/>
          <w:color w:val="000000"/>
          <w:sz w:val="20"/>
        </w:rPr>
        <w:t>Consolidation and Classification.</w:t>
      </w:r>
      <w:r>
        <w:rPr>
          <w:color w:val="000000"/>
        </w:rPr>
        <w:t xml:space="preserve"> </w:t>
      </w:r>
      <w:r>
        <w:rPr>
          <w:rFonts w:ascii="Times New Roman;serif" w:hAnsi="Times New Roman;serif"/>
          <w:b w:val="false"/>
          <w:color w:val="000000"/>
          <w:sz w:val="20"/>
        </w:rPr>
        <w:t xml:space="preserve">The Consolidated Financial Statements include the accounts of RTX Corporation, and all wholly owned, majority-owned, and otherwise controlled domestic and foreign subsidiaries. All intercompany transactions have been eliminated. For our consolidated non-wholly owned subsidiaries, a noncontrolling interest is recognized to reflect the portion of income and equity that is not attributable to us. For classification of certain current assets and liabilities, the duration of our contracts or programs is utilized to define our operating cycle, which is generally longer than one year. Included within our current assets and liabilities are Contract assets and Contract liabilities related to our development and aftermarket arrangements, which can generally span up to twenty years. </w:t>
      </w:r>
    </w:p>
    <w:p>
      <w:pPr>
        <w:pStyle w:val="TextBody"/>
        <w:bidi w:val="0"/>
        <w:spacing w:lineRule="auto" w:line="288" w:before="120" w:after="283"/>
        <w:jc w:val="both"/>
        <w:rPr/>
      </w:pPr>
      <w:r>
        <w:rPr>
          <w:rFonts w:ascii="Times New Roman;serif" w:hAnsi="Times New Roman;serif"/>
          <w:b w:val="false"/>
          <w:i/>
          <w:color w:val="000000"/>
          <w:sz w:val="20"/>
        </w:rPr>
        <w:t>Use of Estimates.</w:t>
      </w:r>
      <w:r>
        <w:rPr>
          <w:color w:val="000000"/>
        </w:rPr>
        <w:t xml:space="preserve"> </w:t>
      </w:r>
      <w:r>
        <w:rPr>
          <w:rFonts w:ascii="Times New Roman;serif" w:hAnsi="Times New Roman;serif"/>
          <w:b w:val="false"/>
          <w:color w:val="000000"/>
          <w:sz w:val="20"/>
        </w:rPr>
        <w:t>Our Consolidated Financial Statements are based on the application of U.S. Generally Accepted Accounting Principles (GAAP), which require us to make estimates and assumptions about future events that affect the amounts reported in our Consolidated Financial Statements and the accompanying notes. Actual results could differ from those estimates, and any such differences may be material to our Consolidated Financial Statements. Estimates and assumptions are reviewed periodically and the effects of changes, if any, are reflected in our Consolidated Financial Statements in the period they are determined.</w:t>
      </w:r>
    </w:p>
    <w:p>
      <w:pPr>
        <w:pStyle w:val="TextBody"/>
        <w:bidi w:val="0"/>
        <w:spacing w:lineRule="auto" w:line="288" w:before="120" w:after="283"/>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xml:space="preserve">Cash and cash equivalents includes cash on hand, demand deposits, and short-term cash investments that are highly liquid in nature and have original maturities of three months or less. The estimated fair value of Cash and cash equivalents approximates the carrying value due to their short maturities. </w:t>
      </w:r>
    </w:p>
    <w:p>
      <w:pPr>
        <w:pStyle w:val="TextBody"/>
        <w:bidi w:val="0"/>
        <w:spacing w:lineRule="auto" w:line="288" w:before="180" w:after="283"/>
        <w:jc w:val="both"/>
        <w:rPr/>
      </w:pP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 xml:space="preserve">Accounts receivable are stated at the net amount expected to be collected. Accounts receivable related to the commercial aerospace industry was approximately 79% of Accounts receivable, net at December 31, 2025 and 2024. We are exposed to credit losses primarily on our accounts receivable and contract assets related to our sales of products and services to commercial customers. The allowance for expected credit losses is established to provide for the expected lifetime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losses by evaluating factors such as customer creditworthiness, historical payment and loss experiences, current economic conditions, including geographic and political risk, and the age and status of outstanding receivables. In certain circumstances, we may be able to develop reasonable and supportable forecasts over the contractual term of the financial asset. For periods beyond which we are able to make or obtain reasonable and supportable forecasts, we revert to historical loss experience and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expected credit losses on a quarterly basis, or when events and circumstances warrant. A credit limit is established for each customer based on the outcome of this review and consideration of the other factors discussed above. In certain cases, we may require collateral or prepayment to mitigate 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credit losses are written off in the period in which the financial asset is no longer collectible.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Unbilled receivables represent revenues that are not currently billable to the customer under the terms of the contract and include unbilled amounts under commercial contracts where payment is solely subject to the passage of time. These items are expected to be billed and collected in the normal course of business. Accounts receivable, net as of December 31, 2025 and 2024 includes unbilled receivables of $411 million and $374 million, respectively, which primarily includes unbilled receivables with commercial aerospace customers. Other unbilled receivables where payment is subject to factors beyond just the passage of time are included in Contract assets, net in the Consolidated Balance Sheet.</w:t>
      </w:r>
    </w:p>
    <w:p>
      <w:pPr>
        <w:pStyle w:val="TextBody"/>
        <w:bidi w:val="0"/>
        <w:spacing w:lineRule="auto" w:line="288" w:before="120" w:after="283"/>
        <w:jc w:val="both"/>
        <w:rPr/>
      </w:pPr>
      <w:r>
        <w:rPr>
          <w:rFonts w:ascii="Times New Roman;serif" w:hAnsi="Times New Roman;serif"/>
          <w:b w:val="false"/>
          <w:i/>
          <w:color w:val="000000"/>
          <w:sz w:val="20"/>
        </w:rPr>
        <w:t>Contract Assets and Liabilities.</w:t>
      </w:r>
      <w:r>
        <w:rPr>
          <w:color w:val="000000"/>
        </w:rPr>
        <w:t xml:space="preserve"> </w:t>
      </w:r>
      <w:r>
        <w:rPr>
          <w:rFonts w:ascii="Times New Roman;serif" w:hAnsi="Times New Roman;serif"/>
          <w:b w:val="false"/>
          <w:color w:val="000000"/>
          <w:sz w:val="20"/>
        </w:rPr>
        <w:t>Contract assets and liabilities represent the difference in the timing of revenue recognition from receipt of cash from our</w:t>
      </w:r>
      <w:r>
        <w:rPr>
          <w:color w:val="000000"/>
        </w:rPr>
        <w:t xml:space="preserve"> </w:t>
      </w:r>
      <w:r>
        <w:rPr>
          <w:rFonts w:ascii="Times New Roman;serif" w:hAnsi="Times New Roman;serif"/>
          <w:b w:val="false"/>
          <w:color w:val="000000"/>
          <w:sz w:val="20"/>
        </w:rPr>
        <w:t>customers. Contract assets reflect revenue recognized and performance obligations satisfied or partially satisfied in advance of customer billing.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relate to payments received in advance of the satisfaction of performance under the contract. We receive payments from customers based on the terms established in our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and contract liabilities are generally classified as current as our operating cycle is generally longer than one year. See “Note 6: Contract Assets and Liabilities” for further discussion of contract assets and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more detail above in “Accounts Receivable,” we are exposed to credit losses on our Contract assets related to our sales of products and services to commercial customers and regularly assess our allowance for expected credit losses as it relates to our contract assets.</w:t>
      </w:r>
    </w:p>
    <w:p>
      <w:pPr>
        <w:pStyle w:val="TextBody"/>
        <w:bidi w:val="0"/>
        <w:spacing w:lineRule="auto" w:line="288" w:before="120" w:after="283"/>
        <w:jc w:val="both"/>
        <w:rPr/>
      </w:pPr>
      <w:r>
        <w:rPr>
          <w:rFonts w:ascii="Times New Roman;serif" w:hAnsi="Times New Roman;serif"/>
          <w:b w:val="false"/>
          <w:i/>
          <w:color w:val="000000"/>
          <w:sz w:val="20"/>
        </w:rPr>
        <w:t>Inventory.</w:t>
      </w:r>
      <w:r>
        <w:rPr>
          <w:color w:val="000000"/>
        </w:rPr>
        <w:t xml:space="preserve"> </w:t>
      </w:r>
      <w:r>
        <w:rPr>
          <w:rFonts w:ascii="Times New Roman;serif" w:hAnsi="Times New Roman;serif"/>
          <w:b w:val="false"/>
          <w:color w:val="000000"/>
          <w:sz w:val="20"/>
        </w:rPr>
        <w:t>Inventory is stated at the lower of cost or estimated realizable value and is primarily based on first-in, first-out (FIFO) or average cost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Valuation reserves for excess, obsolete, and slow-moving inventory are estimated by comparing the inventory levels of individual parts to both future sales forecasts or production requirements and historical usage rates in order to identify inventory where the resale value or replacement value is less than inventoriable cost. Other factors that management considers in determining the adequacy of these reserves include whether individual inventory parts meet current specifications and can be substituted for a part currently being sold or used as a service part, overall market conditions, and other inventory management initiatives. Manufacturing costs are allocated to current production contracts.</w:t>
      </w:r>
    </w:p>
    <w:p>
      <w:pPr>
        <w:pStyle w:val="TextBody"/>
        <w:bidi w:val="0"/>
        <w:spacing w:lineRule="auto" w:line="288" w:before="120" w:after="283"/>
        <w:jc w:val="both"/>
        <w:rPr/>
      </w:pP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Investments in entities we do not control are presented in Other assets in our Consolidated Balance Sheet. For investments in which we have significant influence, we apply the equity method of accounting. Under this method, we record our proportionate share of the investee’s net earnings or losses. If we determine that a decline in the value of an equity</w:t>
        <w:noBreakHyphen/>
        <w:t>method investment is other than temporary, we recognize an impairment loss in current</w:t>
        <w:noBreakHyphen/>
        <w:t>period earnings. Transactions with equity</w:t>
        <w:noBreakHyphen/>
        <w:t>method investees, which are considered related parties, were not material for the periods presented.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make strategic investments in companies that we believe are advancing or developing new technologies applicable to our business. These investments are primarily in early</w:t>
        <w:noBreakHyphen/>
        <w:t>stage entities and may be in the form of convertible debt or equity investments. Most of these investments are in equity securities without readily determinable fair values. These securities are measured at cost with adjustments recorded for observable price changes under the measurement alternative. We evaluate these investments for indicators of impairment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and losses from these investments are included in Other income (expense), net in our Consolidated Statement of Operations, as the activities of the investees are closely aligned with our operations.</w:t>
      </w:r>
    </w:p>
    <w:p>
      <w:pPr>
        <w:pStyle w:val="TextBody"/>
        <w:bidi w:val="0"/>
        <w:spacing w:lineRule="auto" w:line="288" w:before="120" w:after="283"/>
        <w:jc w:val="both"/>
        <w:rPr/>
      </w:pPr>
      <w:r>
        <w:rPr>
          <w:rFonts w:ascii="Times New Roman;serif" w:hAnsi="Times New Roman;serif"/>
          <w:b w:val="false"/>
          <w:i/>
          <w:color w:val="000000"/>
          <w:sz w:val="20"/>
        </w:rPr>
        <w:t>Customer Financing Assets.</w:t>
      </w:r>
      <w:r>
        <w:rPr>
          <w:color w:val="000000"/>
        </w:rPr>
        <w:t xml:space="preserve"> </w:t>
      </w:r>
      <w:r>
        <w:rPr>
          <w:rFonts w:ascii="Times New Roman;serif" w:hAnsi="Times New Roman;serif"/>
          <w:b w:val="false"/>
          <w:color w:val="000000"/>
          <w:sz w:val="20"/>
        </w:rPr>
        <w:t>Customer financing assets (CFA) relate to our commercial aerospace businesses in which we provide financing to airline</w:t>
      </w:r>
      <w:r>
        <w:rPr>
          <w:color w:val="000000"/>
        </w:rPr>
        <w:t xml:space="preserve"> </w:t>
      </w:r>
      <w:r>
        <w:rPr>
          <w:rFonts w:ascii="Times New Roman;serif" w:hAnsi="Times New Roman;serif"/>
          <w:b w:val="false"/>
          <w:color w:val="000000"/>
          <w:sz w:val="20"/>
        </w:rPr>
        <w:t xml:space="preserve">customers. Our financing predominantly relates to leased engines, often provided through the customers’ aftermarket maintenance coverage, and to a lesser extent, notes and lease receivables. In certain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circumstances, we pay deposits on behalf of our airline customers to secure production slots with the airframers, and such pre-delivery payments are included in Accounts receivable, net, if current, and Customer financing assets, if non-current, in our Consolidated Balance Sheet. Any unfunded pre-delivery payments are included within our commercial aerospace financing commitments as further discussed in “Note 17: Commitments and Contingencies.” Interest income from notes and financing leases and rental income from operating lease assets is generally included in Other income (expense), net in the Consolidated Statement of Operations, while gains or losses on sales of operating lease assets are included in Products sales and Cost of sales. The current portion of these financing arrangements are aggregated in Accounts receivable, net and the non-current portion of these financing arrangements are aggregated in Customer financing assets in the Consolidated Balance Sheet. The increases and decreases in CFA from funding, receipts, and certain other activity, are generally reflected as Investing Activities in the Consolidated Statement of Cash Flows. Leased assets are valued at cost and reviewed for impairment when circumstances indicate that the related carrying amounts may not be recoverable. Notes and lease receivables are valued at the net amount expected to be collected. For notes and lease receivables, we determine a specific reserve for exposure based on the difference between the carrying value of the receivable and the estimated fair value of the related collateral in connection with the evaluation of credit risk and collectability. As of December 31, 2025 and 2024, the reserves related to CFA were not material. At December 31, 2025 and 2024, we did not have any material balances that are considered to be delinquent, on non-accrual status, past due 90 days or more, or considered to be impaired.</w:t>
      </w:r>
    </w:p>
    <w:p>
      <w:pPr>
        <w:pStyle w:val="TextBody"/>
        <w:bidi w:val="0"/>
        <w:spacing w:lineRule="auto" w:line="288" w:before="120" w:after="283"/>
        <w:jc w:val="both"/>
        <w:rPr/>
      </w:pPr>
      <w:r>
        <w:rPr>
          <w:rFonts w:ascii="Times New Roman;serif" w:hAnsi="Times New Roman;serif"/>
          <w:b w:val="false"/>
          <w:i/>
          <w:color w:val="000000"/>
          <w:sz w:val="20"/>
        </w:rPr>
        <w:t>Fixed Assets, Net.</w:t>
      </w:r>
      <w:r>
        <w:rPr>
          <w:color w:val="000000"/>
        </w:rPr>
        <w:t xml:space="preserve"> </w:t>
      </w:r>
      <w:r>
        <w:rPr>
          <w:rFonts w:ascii="Times New Roman;serif" w:hAnsi="Times New Roman;serif"/>
          <w:b w:val="false"/>
          <w:color w:val="000000"/>
          <w:sz w:val="20"/>
        </w:rPr>
        <w:t>Fixed assets, net, are stated at cost less accumulated depreciation. Major improvements are capitalized while expenditures for maintenance, repairs, and minor improvements are expensed. For asset sales or retirements, the assets and related accumulated depreciation and amortization are eliminated from the accounts. Gains and losses on sales of our Fixed assets, net, are generally recorded in Other income (expense), net.</w:t>
      </w:r>
    </w:p>
    <w:p>
      <w:pPr>
        <w:pStyle w:val="TextBody"/>
        <w:bidi w:val="0"/>
        <w:spacing w:lineRule="auto" w:line="288" w:before="120" w:after="283"/>
        <w:jc w:val="both"/>
        <w:rPr/>
      </w:pP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Once a business is acquired, the fair value of the identifiable assets acquired and liabilities assumed is determined with the excess cost recorded to goodwill. A preliminary fair value is determined once a business is acquired, with the final determination of the fair value being completed no later than one year from the date of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acquisitions of Rockwell Collins in 2018 and Goodrich in 2012, and to a lesser extent the acquisition of Raytheon Company in 2020, we recorded assumed liabilities related to customer contractual obligations on certain contracts with economic returns that were lower than what could be realized in market transactions as of the acquisition date. We measured these assumed liabilities based on the estimated cash flows of the programs plus a reasonable contracting profit margin required to transfer the contracts to market participants. These liabilities are being amortized in accordance with the underlying pattern of obligations, as reflected by the expenses incurred on the contracts. The balance of the contractual obligations was $576 million and $654 million at December 31, 2025 and 2024, respectively. Total consumption of the contractual obligations for the years ended December 31, 2025, 2024, and 2023 was $78 million, $81 million, and $83 million, respectively, with future consumption expected to be as follows: $69 million in 2026, $81 million in 2027, $84 million in 2028, $82 million in 2029, $74 million in 2030, and $186 million thereafter.</w:t>
      </w:r>
    </w:p>
    <w:p>
      <w:pPr>
        <w:pStyle w:val="TextBody"/>
        <w:bidi w:val="0"/>
        <w:spacing w:lineRule="auto" w:line="288" w:before="120" w:after="283"/>
        <w:jc w:val="both"/>
        <w:rPr/>
      </w:pP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Goodwill represents costs in excess of fair values assigned to the underlying net assets of acquired businesses. Goodwill</w:t>
      </w:r>
      <w:r>
        <w:rPr>
          <w:color w:val="000000"/>
        </w:rPr>
        <w:t xml:space="preserve"> </w:t>
      </w:r>
      <w:r>
        <w:rPr>
          <w:rFonts w:ascii="Times New Roman;serif" w:hAnsi="Times New Roman;serif"/>
          <w:b w:val="false"/>
          <w:color w:val="000000"/>
          <w:sz w:val="20"/>
        </w:rPr>
        <w:t>and intangible assets deemed to have indefinite lives are not amortized, but are subject to impairment testing annually, or more frequently if events or changes in circumstances indicate the asset might be impaired. The goodwill impairment test compares carrying values of the reporting units to their estimated fair values. If the carrying value exceeds the fair value then the carrying value is reduced to fair value. In evaluating our reporting units and indefinite-lived intangible assets for impairment, we may perform both qualitative and quantitative assessments. For the quantitative assessments that are performed, fair value is primarily based on market-based valuation methods, income-based methods using a discounted cash flow model, relief from royalty methods, or a combination of each. These assessments utilize significant assumptions including sales growth rates, projected operating profit, terminal growth rates, discount rates, royalty rates, and comparable multiples from publicly-traded companies in our industry. Such assumptions are subject to variability from year to year and are directly impacted by, among other things, global market conditions. Finite-lived intangible assets are tested for impairment when events occur that indicate that the net book value will not be recovered over future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consist of patents, trademarks/tradenames, customer relationships, exclusivity assets, developed technology, and other intangible assets, including collaboration assets. Acquired intangible assets are recognized at fair value in purchase accounting. Finite-lived intangible assets are amortized primarily to Cost of sales over the applicable useful lives. Exclusivity assets are commercial aerospace payments made to secure certain contractual rights to provide product on new aircraft platforms. We classify amortization of such payments as a reduction of sales. Such payments are capitalized when there are distinct rights obtained and there are sufficient incremental cash flows to support the recoverability of the assets established. Otherwise, the applicable portion of the payments are expensed. In addition, in connection with our 2012 agreement to acquire Rolls-Royce’s ownership and collaboration interests in International Aero Engines AG (IAE), additional payments are due to Rolls-Royce contingent upon each hour flown through June 2027 by the V2500-powered aircraft in service as of the acquisition date. These flight hour payments are being capitalized as collaboration assets and amortized to Cost of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Useful lives of finite-lived intangible assets are estimated based upon the nature of the intangible asset and how the intangible asset is used. These intangible assets are amortized based on the pattern in which the economic benefits of the intangible assets are consumed, as represented by the underlying cash flows, which may result in an amortization method other than straight-line. For both our commercial aerospace collaboration assets and exclusivity arrangements, the pattern of economic benefit generally results in no amortization during the development period with amortization beginning as programs enter full rate production and aftermarket cycles. If a pattern of economic benefit cannot be reliably determined or if straight-line amortization approximates the pattern of economic benefit, a straight-line amortization method may be used. The range of estimated useful lives is as follows:</w:t>
      </w:r>
    </w:p>
    <w:tbl>
      <w:tblPr>
        <w:tblW w:w="4456" w:type="dxa"/>
        <w:jc w:val="left"/>
        <w:tblInd w:w="0" w:type="dxa"/>
        <w:tblLayout w:type="fixed"/>
        <w:tblCellMar>
          <w:top w:w="28" w:type="dxa"/>
          <w:left w:w="28" w:type="dxa"/>
          <w:bottom w:w="28" w:type="dxa"/>
          <w:right w:w="28" w:type="dxa"/>
        </w:tblCellMar>
      </w:tblPr>
      <w:tblGrid>
        <w:gridCol w:w="1353"/>
        <w:gridCol w:w="1189"/>
        <w:gridCol w:w="1193"/>
        <w:gridCol w:w="210"/>
        <w:gridCol w:w="210"/>
        <w:gridCol w:w="301"/>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Years</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assets</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 to 30</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related programs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25</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30</w:t>
            </w:r>
          </w:p>
        </w:tc>
      </w:tr>
      <w:tr>
        <w:trPr/>
        <w:tc>
          <w:tcPr>
            <w:tcW w:w="373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Exclusivity assets</w:t>
            </w:r>
          </w:p>
        </w:tc>
        <w:tc>
          <w:tcPr>
            <w:tcW w:w="72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25</w:t>
            </w:r>
          </w:p>
        </w:tc>
      </w:tr>
    </w:tbl>
    <w:p>
      <w:pPr>
        <w:pStyle w:val="TextBody"/>
        <w:bidi w:val="0"/>
        <w:spacing w:lineRule="auto" w:line="288" w:before="120" w:after="283"/>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 a lessee, we record a right-of-use asset and a lease liability on the Consolidated Balance Sheet for leases with terms longer than 12 months. Leases are classified as either finance or operating, with classification affecting the pattern of expense recognition in the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lease agreements for the use of real estate space, vehicles, IT equipment, and certain other equipment, including engines, under both operating and finance leases. We determine if an arrangement contains a lease at inception. Operating leases are included in Operating lease right-of-use assets and Operating lease liabilities, non-current on our Consolidated Balance Sheet. The current portion of our operating lease liabilities is included in Other accrued liabilities on our Consolidated Balance Sheet. Finance leases are not considered significant to our Consolidated Balance Sheet or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initial direct costs and lease pre-payments made at or before the commencement date and are reduced for any lease incentives received at or before the commencement date. Certain of our leases include variable payments, which may vary based upon changes in facts or circumstances after the start of the lease. We exclude variable payments from lease right-of-use assets and lease liabilities, to the extent such payments are not considered fixed, and instead, expense variable payments as incurred. Variable lease expense and lease expense for short duration contracts are not a material component of lease expense. Some of our leases include the option to extend or terminate the lease. We include these options in the recognition of our right-of-use assets and lease liabilities when it is reasonably certain that we will exercise the option. Lease expense is generally recognized on a straight-line basis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act as a lessor, primarily for commercial aerospace engines for a short term during maintenance events. The majority of these leases are classified as operating leases. These leases are not significant to our Consolidated Balance Sheet or Consolidated Statement of Operations.</w:t>
      </w:r>
    </w:p>
    <w:p>
      <w:pPr>
        <w:pStyle w:val="TextBody"/>
        <w:bidi w:val="0"/>
        <w:spacing w:lineRule="auto" w:line="288" w:before="120" w:after="283"/>
        <w:jc w:val="both"/>
        <w:rPr/>
      </w:pPr>
      <w:r>
        <w:rPr>
          <w:rFonts w:ascii="Times New Roman;serif" w:hAnsi="Times New Roman;serif"/>
          <w:b w:val="false"/>
          <w:i/>
          <w:color w:val="000000"/>
          <w:sz w:val="20"/>
        </w:rPr>
        <w:t>Other Long-Lived Assets.</w:t>
      </w:r>
      <w:r>
        <w:rPr>
          <w:color w:val="000000"/>
        </w:rPr>
        <w:t xml:space="preserve"> </w:t>
      </w:r>
      <w:r>
        <w:rPr>
          <w:rFonts w:ascii="Times New Roman;serif" w:hAnsi="Times New Roman;serif"/>
          <w:b w:val="false"/>
          <w:color w:val="000000"/>
          <w:sz w:val="20"/>
        </w:rPr>
        <w:t>We evaluate the potential impairment of other long-lived assets whenever events or changes in circumstances indicate that the related carrying amounts may not be recoverable. If the carrying value of other long-lived assets held and used exceeds the sum of the undiscounted expected future cash flows, the carrying value is written down to fair value. In order for long-lived assets to be considered held for disposal, we must have committed to a plan to dispose of the assets. Once deemed held for disposal, the assets are stated at the lower of the carrying amount or fair value.</w:t>
      </w:r>
    </w:p>
    <w:p>
      <w:pPr>
        <w:pStyle w:val="TextBody"/>
        <w:bidi w:val="0"/>
        <w:spacing w:lineRule="auto" w:line="288" w:before="120" w:after="283"/>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shd w:fill="FFFFFF" w:val="clear"/>
        </w:rPr>
        <w:t>Future income taxes represent the tax effects of transactions which are reported in different periods for tax and financial reporting purposes. These amounts consist of the tax effects of temporary differences between the tax and financial reporting balance sheets and tax carryforwards. Future income tax benefits and payables within the same tax-paying component of a particular jurisdiction are offset for presentation in the Consolidated Balance Sheet. I</w:t>
      </w:r>
      <w:r>
        <w:rPr>
          <w:rFonts w:ascii="Times New Roman;serif" w:hAnsi="Times New Roman;serif"/>
          <w:b w:val="false"/>
          <w:color w:val="000000"/>
          <w:sz w:val="20"/>
        </w:rPr>
        <w:t xml:space="preserve">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more-likely-than-not that a tax benefit will be sustained, we have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expense has also been recognized. We recognize accrued interest related to unrecognized tax benefits in interest expense. Penalties, if incurred, would be recognized as a component of income tax expense. State income tax amounts are included in income tax expense.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We have elected to account for </w:t>
      </w:r>
      <w:r>
        <w:rPr>
          <w:rFonts w:ascii="Times New Roman;serif" w:hAnsi="Times New Roman;serif"/>
          <w:b w:val="false"/>
          <w:color w:val="000000"/>
          <w:sz w:val="20"/>
        </w:rPr>
        <w:t>tax on Global Intangible Low-Taxed Income (</w:t>
      </w:r>
      <w:r>
        <w:rPr>
          <w:rFonts w:ascii="Times New Roman;serif" w:hAnsi="Times New Roman;serif"/>
          <w:b w:val="false"/>
          <w:color w:val="000000"/>
          <w:sz w:val="20"/>
          <w:shd w:fill="FFFFFF" w:val="clear"/>
        </w:rPr>
        <w:t>GILTI) as a period cost, as incurred.</w:t>
      </w:r>
    </w:p>
    <w:p>
      <w:pPr>
        <w:pStyle w:val="TextBody"/>
        <w:bidi w:val="0"/>
        <w:spacing w:lineRule="auto" w:line="288" w:before="120" w:after="283"/>
        <w:jc w:val="both"/>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A majority of our revenues are from long-term contracts associated with the design, development, manufacture, or modification of complex aerospace or defense equipment or related services. Collins and Pratt &amp; Whitney primarily serve commercial and government customers in both the original equipment manufacturer (OEM) and aftermarket parts and services markets of the aerospace industry, while Raytheon primarily provides products and services to government customers in the defense industry.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contracts that are directly with a foreign government, we are required to obtain certain regulatory approvals. In these cases, we recognize revenue when obtaining regulatory approvals is considered probable based on all known facts and circumstances. A performance obligation is a promise in a contract with a customer to transfer a distinct good or service to the customer. Some of our contracts with customers contain a single performance obligation, while others contain multiple performance obligations, most commonly when a contract contains multiple distinct units (such as engines or certain aerospace components), or spans multiple phases of the product life-cycle such as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 when available. If standalone selling price is not available, we estimate the standalone selling price of each performance obligation, which is generally based on an expected cost-plus-a-margin approach.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the contractual consideration payable by the customer and assess variable consideration that may affect the total transaction price, including contractual discounts, contract incentive payments, estimates of award fees, flight hours, aircraft landings or other customer usage activities on long-term maintenance contracts, and other sources of variable consideration, when determining the transaction price of each contract. We account for consideration payable to a customer as a reduction of revenue. Consideration payable to a customer may include cash amounts we are obligated to pay or expect to pay a customer, as well as credits or other items that can be applied against amounts owed to us. In our Collins and Pratt &amp; Whitney businesses, we may offer customer incentives to purchase our products, which may result in payments made to those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reasonably able to estimate, we include variable consideration in the transaction price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These estimates are based on historical experience, anticipated performance, and our best judgment at the time. We also consider whether our contracts contain a significant financing component, which they generally do not.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Timing of the satisfaction of performance obligations varies across our businesses due to our diverse product and service mix, customer base, and contractual terms.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as of a point-in-time for certain aerospace components, engines, and spare parts. Revenue is recognized when control of the product transfers to the customer, generally upon product shipment. Since billing also typically occurs upon product shipment, we generally do not have Contract assets or Contract liabilities balances related to point-in-time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over time if the customer receives the benefits as we perform work, if the customer controls the asset as it is being produced (continuous transfer of control), or if the product being produced for the customer has no alternative use and we have a contractual right to payment for performance to date. We recognize revenue on an over-time basis for substantially all defense contracts and certain long-term aerospace OEM and aftermarket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defense business revenue, which primarily relates to our Raytheon segment, and to a lesser extent Pratt &amp; Whitney and Collins, is recognized over time because of the continuous transfer of control to our customers. For performance obligations satisfied over time, revenue is recognized on a percentage-of-completion basis generally using costs incurred to date relative to total estimated costs at completion to measure progress. Incurred costs represent work performed, which correspond with and best depict transfer of control to the customer. Contract costs can include labor, materials, subcontractors’ costs, or other direct costs and indirect costs. Our contracts with the U.S. government are typically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equal to a negotiated percentage of the contract price based on quantifiable measures of performance or on the achievement of specified events or milestones. Progress payments are interim payments up to 80-90% of costs incurred as the work progresses. Because the customer retains a portion of the contract price until completion of the contract, our U.S. government fixed-price contracts generally result in revenue recognized in excess of billings which we present as Contract assets on the Consolidated Balance Sheet. For our U.S. government cost-type contracts, the customer generally pays us for our costs incurred within a short period of time. For non-U.S. government contracts, we typically receive interim payments as work progresses, although for some contracts, we may be entitled to receive an advance payment. Such advances are not considered a significant financing component because they are used to meet working capital demands that can be higher in the early stages of a contract and to protect us from the other party failing to adequately complete some or all of its obligations under the contract. We recognize a liability for advance payments in excess of revenue recognized and present it as Contract liabilities on the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certain of our long-term aftermarket contracts, revenue is recognized over the contract period. We generally account for such contracts as a series of daily performance obligations to stand ready to provide spare parts, product maintenance, and aftermarket services. These arrangements include the sale of spare parts with integral services to our customers, and are generally classified as Services sales, with the corresponding costs classified in Cost of sales - services, within the Consolidated Statement of Operations. Revenue is primarily recognized on a percentage-of-completion basis using costs incurred to date relative to total estimated costs at completion to measure progress, as sufficient historical evidence indicates that the cost of performing services under the contract is incurred on an other-than-straight-line basis. For some of our long-term aftermarket contracts, we receive payment prior to delivery of products and services, resulting in a contract liability balance, while for others, we deliver products or services in advance of payment, resulting in a contract asset balance.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Contracts are often modified to account for changes in contract specifications or requirements. We consider contract modifications to exist when the modification either creates new or changes existing enforceable rights and obligations. Contract modifications for goods or services that are not distinct are accounted for as part of the existing contract either on a cumulative catch-up basis or prospective basis depending on the nature of the modification.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 provisions on contracts are recognized to the extent that estimated contract costs exceed the estimated consideration from the products or services contemplated under the contractual arrangement. For new commitments, we generally record loss provisions at contract signing except for certain contracts under which losses are recorded upon receipt of the purchase order that obligates us to perform. For existing commitments, anticipated losses on contractual arrangements are recognized in the period in which losses become evident. In estimating losses, products contemplated under contractual arrangements include firm quantities of product sold under contract and, in the commercial engine and wheels and brakes businesses, future highly-probable sales of replacement parts required by regulation that are expected to be sold subsequently for incorporation into the original equipment. In our commercial engine and wheels and brakes businesses, when the OEM product is sold for a loss, but the combined OEM and aftermarket arrangement for each individual sales campaign is profitable, we record OEM product losses at the time of product delivery.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participation (ICIP) agreements, required under certain contracts. These obligations may or may not be distinct depending on their nature. If cash is paid to a customer to satisfy our offset obligations, it is recorded as a reduction in the transaction price.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EAC adjustments had the following impact on our operating results:</w:t>
      </w:r>
    </w:p>
    <w:tbl>
      <w:tblPr>
        <w:tblW w:w="9174" w:type="dxa"/>
        <w:jc w:val="left"/>
        <w:tblInd w:w="0" w:type="dxa"/>
        <w:tblLayout w:type="fixed"/>
        <w:tblCellMar>
          <w:top w:w="28" w:type="dxa"/>
          <w:left w:w="28" w:type="dxa"/>
          <w:bottom w:w="28" w:type="dxa"/>
          <w:right w:w="28" w:type="dxa"/>
        </w:tblCellMar>
      </w:tblPr>
      <w:tblGrid>
        <w:gridCol w:w="1966"/>
        <w:gridCol w:w="1725"/>
        <w:gridCol w:w="173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common shareowners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earnings per share attributable to common shareowners </w:t>
            </w:r>
            <w:r>
              <w:rPr>
                <w:rFonts w:ascii="Times New Roman;serif" w:hAnsi="Times New Roman;serif"/>
                <w:b w:val="false"/>
                <w:color w:val="000000"/>
                <w:sz w:val="13"/>
              </w:rPr>
              <w:t>(1)</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reflect a U.S. statutory tax rate of 21%, which approximates our tax rate on our EAC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$0.1 billion primarily related to reserve and contract loss provision adjustments. In addition to the amounts included in the table above, during the second quarter of 2024, Raytheon initiated the termination of a fixed price development contract with a foreign customer, herein referred to as “Raytheon Contract Termination,” and recognized a $0.6 billion charge related to the impact of the termination. The charge included the write-off of remaining contract assets and the estimated settlement with the customer. The contract termination was completed and customer settlement occurred during the fourth quarter of 2024, in line with previously accrued amounts.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Collins and Pratt &amp; Whitney businesses, we incur contract fulfillment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customer funding, and subsequently amortize the costs to Cost of sales as the related performance obligations are satisfied. In instances where intellectual property does not transfer to the customer, we generally defer the customer funding of product engineering and development and recognize revenue when the related performance obligations are satisfied. Capitalized contract fulfillment costs were $2.7 billion and $2.5 billion as of December 31, 2025 and 2024, respectively, and are classified in Other assets, current in our Consolidated Balance Sheet and are included in Other current assets in our Consolidated Statement of Cash Flows. We regularly assess capitalized contract fulfillment costs for impairment. In 2024, we recognized impairment charges at Collins of approximately $0.2 billion due to a contract cancellation and $0.1 billion as a result of the impact of initiating alternative titanium sources. See “Russia Sanctions” above for further information regarding initiating alternative titanium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view of the risks and costs associated with developing new engines and the large up-front investments required that often require returns generated over the full estimated life of the engine, Pratt &amp; Whitney has entered into certain collaboration arrangements in which sales, costs, and risks are shared. Sales generated from engine programs, spare parts sales, and aftermarket business under these collaboration arrangements are recorded consistent with our revenue recognition policies in our Consolidated Financial Statements. Amounts attributable to our collaborators for their share of sales are recorded as cost of sales in our Consolidated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for shared or joint program costs. The reimbursement from collaborators of their share of program costs is recorded as a reduction of the related expense item at that time. As of December 31, 2025, the collaborators’ interests in all commercial engine programs ranged from 13% to 49%, inclusive of a portion of Pratt &amp; Whitney’s interests held by other participants. Pratt &amp; Whitney is the principal participant in all existing collaborative arrangements, with the exception of the Engine Alliance (EA), a joint venture with GE Aviation, which provides aftermarket support, spare parts, and service for the GP7000 engine for the Airbus A380 aircraft. There are no individually significant collaborative arrangements, and none of the collaborators individually have more than a 25% share in an individual program where Pratt &amp; Whitney is the principal participant. The following table illustrates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Statement of Operations classification and amounts attributable to transactions arising from the collaborative arrangements between participants for each period presented. </w:t>
      </w:r>
    </w:p>
    <w:tbl>
      <w:tblPr>
        <w:tblW w:w="9581" w:type="dxa"/>
        <w:jc w:val="left"/>
        <w:tblInd w:w="0" w:type="dxa"/>
        <w:tblLayout w:type="fixed"/>
        <w:tblCellMar>
          <w:top w:w="28" w:type="dxa"/>
          <w:left w:w="28" w:type="dxa"/>
          <w:bottom w:w="28" w:type="dxa"/>
          <w:right w:w="28" w:type="dxa"/>
        </w:tblCellMar>
      </w:tblPr>
      <w:tblGrid>
        <w:gridCol w:w="2225"/>
        <w:gridCol w:w="1951"/>
        <w:gridCol w:w="1958"/>
        <w:gridCol w:w="211"/>
        <w:gridCol w:w="631"/>
        <w:gridCol w:w="109"/>
        <w:gridCol w:w="109"/>
        <w:gridCol w:w="109"/>
        <w:gridCol w:w="109"/>
        <w:gridCol w:w="211"/>
        <w:gridCol w:w="616"/>
        <w:gridCol w:w="109"/>
        <w:gridCol w:w="109"/>
        <w:gridCol w:w="109"/>
        <w:gridCol w:w="109"/>
        <w:gridCol w:w="211"/>
        <w:gridCol w:w="541"/>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Collaborator share of sales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 products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Collaborator share of program costs (reimbursement of expenses incurred):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products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total cost of sales includes a net reduction of $2.6 billion related to our collaborators’ share of the Powder Metal Matter.</w:t>
      </w:r>
    </w:p>
    <w:p>
      <w:pPr>
        <w:pStyle w:val="TextBody"/>
        <w:bidi w:val="0"/>
        <w:spacing w:lineRule="auto" w:line="288" w:before="120" w:after="283"/>
        <w:jc w:val="both"/>
        <w:rPr/>
      </w:pPr>
      <w:r>
        <w:rPr>
          <w:rFonts w:ascii="Times New Roman;serif" w:hAnsi="Times New Roman;serif"/>
          <w:b w:val="false"/>
          <w:i/>
          <w:color w:val="000000"/>
          <w:sz w:val="20"/>
        </w:rPr>
        <w:t>Remaining Performance Obligations (RPO).</w:t>
      </w:r>
      <w:r>
        <w:rPr>
          <w:color w:val="000000"/>
        </w:rPr>
        <w:t xml:space="preserve"> </w:t>
      </w:r>
      <w:r>
        <w:rPr>
          <w:rFonts w:ascii="Times New Roman;serif" w:hAnsi="Times New Roman;serif"/>
          <w:b w:val="false"/>
          <w:color w:val="000000"/>
          <w:sz w:val="20"/>
        </w:rPr>
        <w:t xml:space="preserve">RPO represents the aggregate amount of total contract transaction price that is unsatisfied or partially unsatisfied. Total RPO was $268 billion as of December 31, 2025. Of the total RPO as of December 31, 2025, we expect approximately 25% will be recognized as revenue over the next 12 months. Approximately 50% of our RPO relates to long-term commercial aerospace maintenance contracts at Pratt &amp; Whitney, which are generally expected to be realized over a span of up to 20 years. </w:t>
      </w:r>
    </w:p>
    <w:p>
      <w:pPr>
        <w:pStyle w:val="TextBody"/>
        <w:bidi w:val="0"/>
        <w:spacing w:lineRule="auto" w:line="288" w:before="120" w:after="283"/>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Company-sponsored research and development costs, including those costs related to the Company’s portion in connection with cost-sharing arrangements, are charged to expense as incurred and recovery on these cost-sharing arrangements is recorded as a reduction to research and development expense as earned. Customer-sponsored research and development projects performed under contracts with customers are accounted for as contract costs and reported as cost of sales on the related revenue-generating contracts.</w:t>
      </w:r>
    </w:p>
    <w:p>
      <w:pPr>
        <w:pStyle w:val="TextBody"/>
        <w:bidi w:val="0"/>
        <w:spacing w:lineRule="auto" w:line="288" w:before="120" w:after="283"/>
        <w:jc w:val="both"/>
        <w:rPr/>
      </w:pPr>
      <w:r>
        <w:rPr>
          <w:rFonts w:ascii="Times New Roman;serif" w:hAnsi="Times New Roman;serif"/>
          <w:b w:val="false"/>
          <w:i/>
          <w:color w:val="000000"/>
          <w:sz w:val="20"/>
        </w:rPr>
        <w:t>Foreign Exchange.</w:t>
      </w:r>
      <w:r>
        <w:rPr>
          <w:color w:val="000000"/>
        </w:rPr>
        <w:t xml:space="preserve"> </w:t>
      </w:r>
      <w:r>
        <w:rPr>
          <w:rFonts w:ascii="Times New Roman;serif" w:hAnsi="Times New Roman;serif"/>
          <w:b w:val="false"/>
          <w:color w:val="000000"/>
          <w:sz w:val="20"/>
        </w:rPr>
        <w:t>We conduct business in many different currencies and, accordingly, are subject to the inherent risks associated with foreign exchange rate movements. The financial position and results of operations of many of our foreign subsidiaries are often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Accumulated other comprehensive loss in Shareowners’ equity on our Consolidated Balance Sheet. Foreign exchange transaction gains and losses are recorded in Other income (expense), net in our Consolidated Statement of Operations.</w:t>
      </w:r>
    </w:p>
    <w:p>
      <w:pPr>
        <w:pStyle w:val="TextBody"/>
        <w:bidi w:val="0"/>
        <w:spacing w:lineRule="auto" w:line="288" w:before="120" w:after="283"/>
        <w:jc w:val="both"/>
        <w:rPr/>
      </w:pPr>
      <w:r>
        <w:rPr>
          <w:rFonts w:ascii="Times New Roman;serif" w:hAnsi="Times New Roman;serif"/>
          <w:b w:val="false"/>
          <w:i/>
          <w:color w:val="000000"/>
          <w:sz w:val="20"/>
        </w:rPr>
        <w:t>Derivatives and Hedging Activity.</w:t>
      </w:r>
      <w:r>
        <w:rPr>
          <w:color w:val="000000"/>
        </w:rPr>
        <w:t xml:space="preserve"> </w:t>
      </w:r>
      <w:r>
        <w:rPr>
          <w:rFonts w:ascii="Times New Roman;serif" w:hAnsi="Times New Roman;serif"/>
          <w:b w:val="false"/>
          <w:color w:val="000000"/>
          <w:sz w:val="20"/>
        </w:rPr>
        <w:t xml:space="preserve">We use derivative instruments, including swaps, forward contracts, and options, to help manage certain foreign currency, and from time to time to help manage interest rate and commodity price exposures. Derivative instruments are viewed as risk management tools by us and are not used for trading or speculative purposes. 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 We enter into transactions that are subject to enforceable master netting arrangements or similar agreements with various counterparties. While we have rights to offset multiple contracts with a single counterparty in an event of default, those obligations remain separate and distinct otherwise, and, as a result, the fair value of the derivative instruments in a loss position is not offset against the fair value of derivative instruments in a gain position in our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used for hedging purposes may be designated and effective as a hedge of the identified risk exposure at the inception of the contract. All derivative instruments are recorded on the balance sheet at fair value. Derivatives used to hedge foreign currency denominated balance sheet items are reported directly in earnings along with offsetting transaction gains and losses on the items being hedged. Derivatives are also used to hedge foreign currency translation risk arising from the net investment in certain foreign operations. Derivatives used to hedge forecasted cash flows associated with foreign currency commitments or forecasted commodity purchases may be accounted for as cash flow hedges, as deemed appropriate. Changes in the fair value of derivatives that are designated and qualify as a hedge of the net investment in foreign operations, to the extent they are included in the assessment of effectiveness, are recorded in Foreign currency translation adjustments within Other comprehensive income (loss) (OCI) and are deferred until disposal of the underlying investment. Gains and losses representing components excluded from the assessment of effectiveness for net investment hedges are recognized on a straight-line basis in Other income (expense), net over the term of the hedges. To the extent that a previously-designated hedging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transa</w:t>
      </w:r>
      <w:r>
        <w:rPr>
          <w:rFonts w:ascii="Times New Roman;serif" w:hAnsi="Times New Roman;serif"/>
          <w:b w:val="false"/>
          <w:color w:val="000000"/>
          <w:sz w:val="20"/>
          <w:shd w:fill="FFFFFF" w:val="clear"/>
        </w:rPr>
        <w:t xml:space="preserve">ction for cash flow hedges or net investment hedges are no longer an effective hedge, any ineffectiveness measured in the hedging relationship is recorded currently in earnings in the period it occurs.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the hedge accounting criteria are not met, the foreign currency forward contracts are utilized as economic hedges and changes in the fair value of these contracts are recorded currently in earnings in the period in which they occur. Additional information pertaining to foreign currency forward contracts and net investment hedging is included in “Note 13: Financial Instruments.”</w:t>
      </w:r>
    </w:p>
    <w:p>
      <w:pPr>
        <w:pStyle w:val="TextBody"/>
        <w:bidi w:val="0"/>
        <w:spacing w:lineRule="auto" w:line="288" w:before="120" w:after="283"/>
        <w:jc w:val="both"/>
        <w:rPr/>
      </w:pPr>
      <w:r>
        <w:rPr>
          <w:rFonts w:ascii="Times New Roman;serif" w:hAnsi="Times New Roman;serif"/>
          <w:b w:val="false"/>
          <w:i/>
          <w:color w:val="000000"/>
          <w:sz w:val="20"/>
        </w:rPr>
        <w:t xml:space="preserve">Environmental. </w:t>
      </w:r>
      <w:r>
        <w:rPr>
          <w:rFonts w:ascii="Times New Roman;serif" w:hAnsi="Times New Roman;serif"/>
          <w:b w:val="false"/>
          <w:color w:val="000000"/>
          <w:sz w:val="20"/>
        </w:rPr>
        <w:t>Environmental investigatory, remediation, operating, and maintenance costs are accrued when it is probable that a liability has been incurred</w:t>
      </w:r>
      <w:r>
        <w:rPr>
          <w:color w:val="000000"/>
        </w:rPr>
        <w:t xml:space="preserve"> </w:t>
      </w:r>
      <w:r>
        <w:rPr>
          <w:rFonts w:ascii="Times New Roman;serif" w:hAnsi="Times New Roman;serif"/>
          <w:b w:val="false"/>
          <w:color w:val="000000"/>
          <w:sz w:val="20"/>
        </w:rPr>
        <w:t>and the amount can be reasonably estimated. The most likely cost to be incurred is accrued based on an evaluation of currently-available facts with respect to each individual site, including existing technology, current laws and regulations, and prior remediation experience. Where no amount within a range of estimates is more likely, the minimum is accrued. For sites with multiple responsible parties, we consider our likely proportionate share of the anticipated remediation costs and the ability of the other parties to fulfill their obligations in establishing a provision for those costs. Liabilities with fixed or reliably determinable future cash payments are discounted.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with the U.S. government. We consider such recovery probable based on government contracting regulations and our history of receiving reimbursement for such costs, and accordingly have recorded the future recovery of these costs from the U.S. government within Other assets, current in the Consolidated Balance Sheet. Accrued environmental liabilities are not reduced by potential insurance reimbursements or potential recoveries from pursuing other parties. We also lease certain government-owned properties and generally are not liable for remediation of preexisting environmental contamination at these sites. As a result, we generally do not provide for these costs in our Consolidated Financial Statements. See “Note 17: Commitments and Contingencies” for additional details on the environmental remediation activities.</w:t>
      </w:r>
    </w:p>
    <w:p>
      <w:pPr>
        <w:pStyle w:val="TextBody"/>
        <w:bidi w:val="0"/>
        <w:spacing w:lineRule="auto" w:line="288" w:before="120" w:after="283"/>
        <w:jc w:val="both"/>
        <w:rPr/>
      </w:pPr>
      <w:r>
        <w:rPr>
          <w:rFonts w:ascii="Times New Roman;serif" w:hAnsi="Times New Roman;serif"/>
          <w:b w:val="false"/>
          <w:i/>
          <w:color w:val="000000"/>
          <w:sz w:val="20"/>
        </w:rPr>
        <w:t>Pension and Postretirement Obligations.</w:t>
      </w:r>
      <w:r>
        <w:rPr>
          <w:color w:val="000000"/>
        </w:rPr>
        <w:t xml:space="preserve"> </w:t>
      </w:r>
      <w:r>
        <w:rPr>
          <w:rFonts w:ascii="Times New Roman;serif" w:hAnsi="Times New Roman;serif"/>
          <w:b w:val="false"/>
          <w:color w:val="000000"/>
          <w:sz w:val="20"/>
        </w:rPr>
        <w:t>U.S. GAAP requires balance sheet recognition of the overfunded or underfunded status of pension and postretirement benefit (PRB) plans. Funded status is measured at least annually in the fourth quarter and represents the difference between the plans’ projected benefit obligation (PBO) and the fair market value of the plans’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to our pension and PRB plans’ funded status can result from company actions, such as contributions, changes in plan provisions, or by gains and losses. Gains and losses are primarily a result of changes in assumptions and actual experience that differs from these assumptions. Major assumptions include the discount rate and expected return on plan assets (EROA). Other assumptions include actuarial and demographic assumptions including mortality rates, retirement age, and rate of increase in employee compensation levels. These gains or losses are recorded in Other comprehensive loss, net of tax, until they are amortized as a component of net periodic benefit (income)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calculated “market-related value” of our plan assets is generally used to develop the amount of deferred asset gains or losses to be amortized. The market-related value of assets is generally equal to the fair value of assets adjusted to reflect the recognition, and subsequent amortization, of the difference between actual and expected asset returns over a five-year period. The market-related value of assets is used to calculate the expected return on assets included in the net periodic benefit (income)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use the “corridor” approach in the amortization of gains and losses, which limits the expense recognition to the net outstanding gains and losses in excess of the greater of 10% of the PBO or 10% of the market-related value of assets. Gains and losses exceeding the corridor are amortized in net periodic benefit (income) expense over either the projected average remaining employee service period or the projected average remaining lifetime of inactive participants depending on the plan.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periodic benefit (income) expense is classified between operating and non-operating, whereby only the service cost component is included in operating profit and the remaining components are included in Non-service pension income.</w:t>
      </w:r>
    </w:p>
    <w:p>
      <w:pPr>
        <w:pStyle w:val="TextBody"/>
        <w:bidi w:val="0"/>
        <w:spacing w:lineRule="auto" w:line="288" w:before="120" w:after="283"/>
        <w:jc w:val="both"/>
        <w:rPr/>
      </w:pPr>
      <w:r>
        <w:rPr>
          <w:rFonts w:ascii="Times New Roman;serif" w:hAnsi="Times New Roman;serif"/>
          <w:b w:val="false"/>
          <w:i/>
          <w:color w:val="000000"/>
          <w:sz w:val="20"/>
        </w:rPr>
        <w:t>Product Performance Obligations.</w:t>
      </w:r>
      <w:r>
        <w:rPr>
          <w:color w:val="000000"/>
        </w:rPr>
        <w:t xml:space="preserve"> </w:t>
      </w:r>
      <w:r>
        <w:rPr>
          <w:rFonts w:ascii="Times New Roman;serif" w:hAnsi="Times New Roman;serif"/>
          <w:b w:val="false"/>
          <w:color w:val="000000"/>
          <w:sz w:val="20"/>
        </w:rPr>
        <w:t>We extend performance and operating cost guarantees beyond our normal service and warranty policies for extended periods on some of our products, particularly commercial aircraft engines. Liability under such guarantees is based upon future product performance and durability. We accrue for such costs that are probable and can be reasonably estimated. In addition, we incur discretionary costs to service our products in connection with product performance issues. The costs associated with these product performance and operating cost guarantees require estimates over the full terms of the agreements, and require management to consider factors such as the extent of future maintenance requirements, interval between flight and repair time, and the future cost of material and labor to perform the services. These cost estimates are largely based upon historical experience. See “Note 16: Guarantees”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Government Grants.</w:t>
      </w:r>
      <w:r>
        <w:rPr>
          <w:color w:val="0070C0"/>
        </w:rPr>
        <w:t xml:space="preserve"> </w:t>
      </w:r>
      <w:r>
        <w:rPr>
          <w:rFonts w:ascii="Times New Roman;serif" w:hAnsi="Times New Roman;serif"/>
          <w:b w:val="false"/>
          <w:color w:val="000000"/>
          <w:sz w:val="20"/>
        </w:rPr>
        <w:t>We may receive grants from various federal, state, local, and foreign governments in exchange for compliance with certain conditions relating to our activities in a specific jurisdiction. Grants are often structured to encourage investment, job creation, job retention, employee training, and other related activities. We recognize government grants when there is reasonable assurance that the Company will comply with the conditions of the grant and the grant is received or is probable of receipt and the amount is determinable. Government grants are recorded as a reduction to the related expense or asset to which the grant relates or recorded in Other income (expense), net in our Consolidated Statement of Operations. Government grant transactions are not material to our financial position, results of operations, or liquidity.</w:t>
      </w:r>
    </w:p>
    <w:p>
      <w:pPr>
        <w:pStyle w:val="TextBody"/>
        <w:bidi w:val="0"/>
        <w:spacing w:lineRule="auto" w:line="288" w:before="120" w:after="283"/>
        <w:jc w:val="both"/>
        <w:rPr/>
      </w:pPr>
      <w:r>
        <w:rPr>
          <w:rFonts w:ascii="Times New Roman;serif" w:hAnsi="Times New Roman;serif"/>
          <w:b w:val="false"/>
          <w:i/>
          <w:color w:val="000000"/>
          <w:sz w:val="20"/>
        </w:rPr>
        <w:t xml:space="preserve">Accounting Pronouncements. </w:t>
      </w:r>
      <w:r>
        <w:rPr>
          <w:rFonts w:ascii="Times New Roman;serif" w:hAnsi="Times New Roman;serif"/>
          <w:b w:val="false"/>
          <w:color w:val="000000"/>
          <w:sz w:val="20"/>
        </w:rPr>
        <w:t>In December 2025, the Financial Accounting Standards Board (FASB) issued Accounting Standard Update (ASU) 2025-10; Accounting for Government Grants Received by Business Entities, which provides guidance on how companies should recognize, measure, and present government grants received. The new standard is effective for annual and interim reporting periods beginning after December 15, 2028. The standard allows for a modified prospective, modified retrospective,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Improvements to the Accounting for Internal-Use Software,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a tabular disclosure of the amounts of specified natural expense categories included in each relevant expense caption. Additionally, the amendments require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to enhance income tax reporting disclosures and require disclosure of specific categories in the tabular rate reconciliation. We adopted this standard for the annual period ending December 31, 2025 on a prospective basis. We updated our income tax disclosures to comply with the requirements. See “Note 12: Income Taxes.” The adoption of the standard did not have an impact on our financial position, results of operations, or liquidity.</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Other new pronouncements issued but not effective until after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are not expected to have a material impact 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ACQUISITIONS AND DISPOSITIONS</w:t>
      </w:r>
    </w:p>
    <w:p>
      <w:pPr>
        <w:pStyle w:val="TextBody"/>
        <w:bidi w:val="0"/>
        <w:spacing w:lineRule="auto" w:line="288" w:before="120" w:after="283"/>
        <w:jc w:val="both"/>
        <w:rPr/>
      </w:pPr>
      <w:r>
        <w:rPr>
          <w:rFonts w:ascii="Times New Roman;serif" w:hAnsi="Times New Roman;serif"/>
          <w:b/>
          <w:color w:val="000000"/>
          <w:sz w:val="20"/>
        </w:rPr>
        <w:t xml:space="preserve">Dispositions. </w:t>
      </w:r>
      <w:r>
        <w:rPr>
          <w:rFonts w:ascii="Times New Roman;serif" w:hAnsi="Times New Roman;serif"/>
          <w:b w:val="false"/>
          <w:color w:val="000000"/>
          <w:sz w:val="20"/>
        </w:rPr>
        <w:t>On July 21, 2025, we completed the sale of the actuation and flight control business within our Collins segment for gross proceeds of $1.8 billion. Cash received of $1.6 billion, net of cash transferred, included amounts attributable to continuing service agreements supporting the buyer post-closing. The sale resulted in a pre-tax gain of $0.2 billion, which was recorded in Other income (expense), net within the Consolidated Statement of Operations.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we completed the sale of the Simmonds Precision Products business within our Collins segment for gross proceeds of approximately $0.8 billion, resulting in an aggregate pre-tax gain of $0.1 billion, recognized in Other income (expense), net within the Consolidated Statement of Operations.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29, 2024, we completed the sale of our Cybersecurity, Intelligence and Services (CIS) business within our Raytheon segment for proceeds of approximately $1.3 billion in cash, resulting in an aggregate pre-tax gain, net of transaction and other related costs, of $0.4 billion, primarily recognized in Other income (expense), net within the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2024, we completed the sale of our Goodrich Hoist &amp; Winch business within our Collins segment for proceeds of approximately $0.5 billion in cash, resulting in a pre-tax gain, net of transaction and other related costs, of $0.1 billion, primarily recognized in Other income (expense), net within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GOODWILL AND INTANGIBLE ASSETS</w:t>
      </w:r>
    </w:p>
    <w:p>
      <w:pPr>
        <w:pStyle w:val="TextBody"/>
        <w:bidi w:val="0"/>
        <w:spacing w:lineRule="auto" w:line="288" w:before="120" w:after="283"/>
        <w:jc w:val="both"/>
        <w:rPr/>
      </w:pPr>
      <w:r>
        <w:rPr>
          <w:rFonts w:ascii="Times New Roman;serif" w:hAnsi="Times New Roman;serif"/>
          <w:b/>
          <w:color w:val="000000"/>
          <w:sz w:val="20"/>
        </w:rPr>
        <w:t>Goodwill.</w:t>
      </w:r>
      <w:r>
        <w:rPr>
          <w:color w:val="000000"/>
        </w:rPr>
        <w:t xml:space="preserve"> </w:t>
      </w:r>
      <w:r>
        <w:rPr>
          <w:rFonts w:ascii="Times New Roman;serif" w:hAnsi="Times New Roman;serif"/>
          <w:b w:val="false"/>
          <w:color w:val="000000"/>
          <w:sz w:val="20"/>
        </w:rPr>
        <w:t>Changes in our goodwill balances for the year ended December 31, 2025 were as follows:</w:t>
      </w:r>
    </w:p>
    <w:tbl>
      <w:tblPr>
        <w:tblW w:w="10205" w:type="dxa"/>
        <w:jc w:val="left"/>
        <w:tblInd w:w="0" w:type="dxa"/>
        <w:tblLayout w:type="fixed"/>
        <w:tblCellMar>
          <w:top w:w="28" w:type="dxa"/>
          <w:left w:w="28" w:type="dxa"/>
          <w:bottom w:w="28" w:type="dxa"/>
          <w:right w:w="28" w:type="dxa"/>
        </w:tblCellMar>
      </w:tblPr>
      <w:tblGrid>
        <w:gridCol w:w="651"/>
        <w:gridCol w:w="570"/>
        <w:gridCol w:w="492"/>
        <w:gridCol w:w="366"/>
        <w:gridCol w:w="1254"/>
        <w:gridCol w:w="189"/>
        <w:gridCol w:w="109"/>
        <w:gridCol w:w="109"/>
        <w:gridCol w:w="109"/>
        <w:gridCol w:w="418"/>
        <w:gridCol w:w="956"/>
        <w:gridCol w:w="216"/>
        <w:gridCol w:w="109"/>
        <w:gridCol w:w="109"/>
        <w:gridCol w:w="109"/>
        <w:gridCol w:w="535"/>
        <w:gridCol w:w="1221"/>
        <w:gridCol w:w="277"/>
        <w:gridCol w:w="109"/>
        <w:gridCol w:w="109"/>
        <w:gridCol w:w="109"/>
        <w:gridCol w:w="360"/>
        <w:gridCol w:w="1260"/>
        <w:gridCol w:w="189"/>
        <w:gridCol w:w="109"/>
        <w:gridCol w:w="161"/>
      </w:tblGrid>
      <w:tr>
        <w:trPr/>
        <w:tc>
          <w:tcPr>
            <w:tcW w:w="65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w:t>
            </w: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32,776</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1,563</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18,987</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53,326</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52,789 </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w:t>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2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53,343</w:t>
            </w:r>
            <w:r>
              <w:rPr>
                <w:color w:val="000000"/>
              </w:rPr>
              <w:t> </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or more frequently if events or changes in circumstances indicate the asset might be impaired.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our annual goodwill impairment testing as of October 1, 2025 and determined that no adjustments to the carrying value of goodwill were necessary. We assessed all of our reporting units using qualitative factors to determine whether it was more likely than not that any individual reporting unit’s fair value is less than its carrying value (step 0) and determined that no further testing was required. </w:t>
      </w:r>
    </w:p>
    <w:p>
      <w:pPr>
        <w:pStyle w:val="TextBody"/>
        <w:bidi w:val="0"/>
        <w:spacing w:lineRule="auto" w:line="288" w:before="120" w:after="283"/>
        <w:jc w:val="both"/>
        <w:rPr/>
      </w:pPr>
      <w:r>
        <w:rPr>
          <w:rFonts w:ascii="Times New Roman;serif" w:hAnsi="Times New Roman;serif"/>
          <w:b/>
          <w:color w:val="000000"/>
          <w:sz w:val="20"/>
        </w:rPr>
        <w:t>Intangible Assets.</w:t>
      </w:r>
      <w:r>
        <w:rPr>
          <w:color w:val="000000"/>
        </w:rPr>
        <w:t xml:space="preserve"> </w:t>
      </w:r>
      <w:r>
        <w:rPr>
          <w:rFonts w:ascii="Times New Roman;serif" w:hAnsi="Times New Roman;serif"/>
          <w:b w:val="false"/>
          <w:color w:val="000000"/>
          <w:sz w:val="20"/>
        </w:rPr>
        <w:t>Identifiable intangible assets are comprised of the following:</w:t>
      </w:r>
    </w:p>
    <w:tbl>
      <w:tblPr>
        <w:tblW w:w="10173" w:type="dxa"/>
        <w:jc w:val="left"/>
        <w:tblInd w:w="0" w:type="dxa"/>
        <w:tblLayout w:type="fixed"/>
        <w:tblCellMar>
          <w:top w:w="28" w:type="dxa"/>
          <w:left w:w="28" w:type="dxa"/>
          <w:bottom w:w="28" w:type="dxa"/>
          <w:right w:w="28" w:type="dxa"/>
        </w:tblCellMar>
      </w:tblPr>
      <w:tblGrid>
        <w:gridCol w:w="1012"/>
        <w:gridCol w:w="887"/>
        <w:gridCol w:w="890"/>
        <w:gridCol w:w="230"/>
        <w:gridCol w:w="805"/>
        <w:gridCol w:w="119"/>
        <w:gridCol w:w="109"/>
        <w:gridCol w:w="109"/>
        <w:gridCol w:w="109"/>
        <w:gridCol w:w="391"/>
        <w:gridCol w:w="1477"/>
        <w:gridCol w:w="202"/>
        <w:gridCol w:w="109"/>
        <w:gridCol w:w="109"/>
        <w:gridCol w:w="109"/>
        <w:gridCol w:w="225"/>
        <w:gridCol w:w="769"/>
        <w:gridCol w:w="116"/>
        <w:gridCol w:w="109"/>
        <w:gridCol w:w="109"/>
        <w:gridCol w:w="109"/>
        <w:gridCol w:w="376"/>
        <w:gridCol w:w="1419"/>
        <w:gridCol w:w="27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Amortization </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29,338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(13,989)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40,744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(17,379)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49,224</w:t>
            </w:r>
            <w:r>
              <w:rPr>
                <w:color w:val="000000"/>
              </w:rPr>
              <w:t> </w:t>
            </w:r>
          </w:p>
        </w:tc>
        <w:tc>
          <w:tcPr>
            <w:tcW w:w="1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(17,379)</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48,899 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w:t>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completed our annual indefinite-lived intangible assets impairment testing using a qualitative approach as of October 1, 2025 and determined that no adjustments to the carrying value of these assets were necessary.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$2.1 billion, $2.2 billion, and $2.1 billion in 2025, 2024, and 2023, respectively. The following is the expected amortization of intangible assets for 2026 through 2030:</w:t>
      </w:r>
    </w:p>
    <w:tbl>
      <w:tblPr>
        <w:tblW w:w="6638" w:type="dxa"/>
        <w:jc w:val="left"/>
        <w:tblInd w:w="0" w:type="dxa"/>
        <w:tblLayout w:type="fixed"/>
        <w:tblCellMar>
          <w:top w:w="28" w:type="dxa"/>
          <w:left w:w="28" w:type="dxa"/>
          <w:bottom w:w="28" w:type="dxa"/>
          <w:right w:w="28" w:type="dxa"/>
        </w:tblCellMar>
      </w:tblPr>
      <w:tblGrid>
        <w:gridCol w:w="691"/>
        <w:gridCol w:w="606"/>
        <w:gridCol w:w="608"/>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10"/>
        <w:gridCol w:w="210"/>
        <w:gridCol w:w="301"/>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r>
      <w:tr>
        <w:trPr/>
        <w:tc>
          <w:tcPr>
            <w:tcW w:w="1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6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EARNINGS PER SHARE</w:t>
      </w:r>
    </w:p>
    <w:tbl>
      <w:tblPr>
        <w:tblW w:w="8217" w:type="dxa"/>
        <w:jc w:val="left"/>
        <w:tblInd w:w="0" w:type="dxa"/>
        <w:tblLayout w:type="fixed"/>
        <w:tblCellMar>
          <w:top w:w="28" w:type="dxa"/>
          <w:left w:w="28" w:type="dxa"/>
          <w:bottom w:w="28" w:type="dxa"/>
          <w:right w:w="28" w:type="dxa"/>
        </w:tblCellMar>
      </w:tblPr>
      <w:tblGrid>
        <w:gridCol w:w="1701"/>
        <w:gridCol w:w="1491"/>
        <w:gridCol w:w="1503"/>
        <w:gridCol w:w="211"/>
        <w:gridCol w:w="631"/>
        <w:gridCol w:w="109"/>
        <w:gridCol w:w="109"/>
        <w:gridCol w:w="109"/>
        <w:gridCol w:w="109"/>
        <w:gridCol w:w="211"/>
        <w:gridCol w:w="616"/>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1,341.4</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and equity units (share equivalent)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shareowners: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2025, 2024, and 2023, there were 1.4 million, 4.8 million, and 9.6 million stock awards excluded from the computation,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7434" w:type="dxa"/>
        <w:jc w:val="left"/>
        <w:tblInd w:w="0" w:type="dxa"/>
        <w:tblLayout w:type="fixed"/>
        <w:tblCellMar>
          <w:top w:w="28" w:type="dxa"/>
          <w:left w:w="28" w:type="dxa"/>
          <w:bottom w:w="28" w:type="dxa"/>
          <w:right w:w="28" w:type="dxa"/>
        </w:tblCellMar>
      </w:tblPr>
      <w:tblGrid>
        <w:gridCol w:w="1801"/>
        <w:gridCol w:w="1579"/>
        <w:gridCol w:w="1585"/>
        <w:gridCol w:w="211"/>
        <w:gridCol w:w="736"/>
        <w:gridCol w:w="109"/>
        <w:gridCol w:w="109"/>
        <w:gridCol w:w="109"/>
        <w:gridCol w:w="109"/>
        <w:gridCol w:w="211"/>
        <w:gridCol w:w="721"/>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contracts (including foreign military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expected credit losses related to accounts receivable were as follows:</w:t>
      </w:r>
    </w:p>
    <w:tbl>
      <w:tblPr>
        <w:tblW w:w="6017" w:type="dxa"/>
        <w:jc w:val="left"/>
        <w:tblInd w:w="0" w:type="dxa"/>
        <w:tblLayout w:type="fixed"/>
        <w:tblCellMar>
          <w:top w:w="28" w:type="dxa"/>
          <w:left w:w="28" w:type="dxa"/>
          <w:bottom w:w="28" w:type="dxa"/>
          <w:right w:w="28" w:type="dxa"/>
        </w:tblCellMar>
      </w:tblPr>
      <w:tblGrid>
        <w:gridCol w:w="1305"/>
        <w:gridCol w:w="1145"/>
        <w:gridCol w:w="1149"/>
        <w:gridCol w:w="211"/>
        <w:gridCol w:w="481"/>
        <w:gridCol w:w="109"/>
        <w:gridCol w:w="211"/>
        <w:gridCol w:w="466"/>
        <w:gridCol w:w="109"/>
        <w:gridCol w:w="211"/>
        <w:gridCol w:w="46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period provision, net of recoveries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CONTRACT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as of December 31, 2025 and 2024 were as follows:</w:t>
      </w:r>
    </w:p>
    <w:tbl>
      <w:tblPr>
        <w:tblW w:w="4404" w:type="dxa"/>
        <w:jc w:val="left"/>
        <w:tblInd w:w="0" w:type="dxa"/>
        <w:tblLayout w:type="fixed"/>
        <w:tblCellMar>
          <w:top w:w="28" w:type="dxa"/>
          <w:left w:w="28" w:type="dxa"/>
          <w:bottom w:w="28" w:type="dxa"/>
          <w:right w:w="28" w:type="dxa"/>
        </w:tblCellMar>
      </w:tblPr>
      <w:tblGrid>
        <w:gridCol w:w="702"/>
        <w:gridCol w:w="615"/>
        <w:gridCol w:w="618"/>
        <w:gridCol w:w="211"/>
        <w:gridCol w:w="736"/>
        <w:gridCol w:w="109"/>
        <w:gridCol w:w="109"/>
        <w:gridCol w:w="109"/>
        <w:gridCol w:w="109"/>
        <w:gridCol w:w="211"/>
        <w:gridCol w:w="721"/>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(4,523)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net increased $2.5 billion during 2025 primarily due to sales in excess of billings on certain contracts at Pratt &amp; Whitney, partially offset by an increase in the allowance for expected credit losses due to a customer bankruptcy recorded at Pratt &amp; Whitney in the second quarter of 2025. Contract liabilities increased $3.0 billion during 2025 primarily due to billings in excess of sales on certain contracts at Pratt &amp; Whitney and Raytheon.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2024, and 2023, we recognized revenue of $8.1 billion, $7.2 billion, and $5.3 billion related to our Contract liabilities at January 1, 2025, January 1, 2024, and January 1,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net consisted of the following at December 31:</w:t>
      </w:r>
    </w:p>
    <w:tbl>
      <w:tblPr>
        <w:tblW w:w="6848" w:type="dxa"/>
        <w:jc w:val="left"/>
        <w:tblInd w:w="0" w:type="dxa"/>
        <w:tblLayout w:type="fixed"/>
        <w:tblCellMar>
          <w:top w:w="28" w:type="dxa"/>
          <w:left w:w="28" w:type="dxa"/>
          <w:bottom w:w="28" w:type="dxa"/>
          <w:right w:w="28" w:type="dxa"/>
        </w:tblCellMar>
      </w:tblPr>
      <w:tblGrid>
        <w:gridCol w:w="1588"/>
        <w:gridCol w:w="1393"/>
        <w:gridCol w:w="1398"/>
        <w:gridCol w:w="211"/>
        <w:gridCol w:w="736"/>
        <w:gridCol w:w="109"/>
        <w:gridCol w:w="109"/>
        <w:gridCol w:w="109"/>
        <w:gridCol w:w="109"/>
        <w:gridCol w:w="211"/>
        <w:gridCol w:w="721"/>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advance of customer billings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payments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U.S. government contracts that provide progress payments, the U.S. government has title to the asset related to unbilled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expected credit losses related to contract assets were as follows:</w:t>
      </w:r>
    </w:p>
    <w:tbl>
      <w:tblPr>
        <w:tblW w:w="7908" w:type="dxa"/>
        <w:jc w:val="left"/>
        <w:tblInd w:w="0" w:type="dxa"/>
        <w:tblLayout w:type="fixed"/>
        <w:tblCellMar>
          <w:top w:w="28" w:type="dxa"/>
          <w:left w:w="28" w:type="dxa"/>
          <w:bottom w:w="28" w:type="dxa"/>
          <w:right w:w="28" w:type="dxa"/>
        </w:tblCellMar>
      </w:tblPr>
      <w:tblGrid>
        <w:gridCol w:w="1991"/>
        <w:gridCol w:w="1747"/>
        <w:gridCol w:w="1752"/>
        <w:gridCol w:w="211"/>
        <w:gridCol w:w="481"/>
        <w:gridCol w:w="109"/>
        <w:gridCol w:w="211"/>
        <w:gridCol w:w="466"/>
        <w:gridCol w:w="109"/>
        <w:gridCol w:w="211"/>
        <w:gridCol w:w="466"/>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changes in estimates, and recoveries,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INVENTORY, NET</w:t>
      </w:r>
    </w:p>
    <w:tbl>
      <w:tblPr>
        <w:tblW w:w="4208" w:type="dxa"/>
        <w:jc w:val="left"/>
        <w:tblInd w:w="0" w:type="dxa"/>
        <w:tblLayout w:type="fixed"/>
        <w:tblCellMar>
          <w:top w:w="28" w:type="dxa"/>
          <w:left w:w="28" w:type="dxa"/>
          <w:bottom w:w="28" w:type="dxa"/>
          <w:right w:w="28" w:type="dxa"/>
        </w:tblCellMar>
      </w:tblPr>
      <w:tblGrid>
        <w:gridCol w:w="631"/>
        <w:gridCol w:w="553"/>
        <w:gridCol w:w="555"/>
        <w:gridCol w:w="211"/>
        <w:gridCol w:w="736"/>
        <w:gridCol w:w="109"/>
        <w:gridCol w:w="109"/>
        <w:gridCol w:w="109"/>
        <w:gridCol w:w="109"/>
        <w:gridCol w:w="211"/>
        <w:gridCol w:w="721"/>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13,364</w:t>
            </w:r>
            <w:r>
              <w:rPr>
                <w:color w:val="000000"/>
              </w:rPr>
              <w:t>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Raw materials, work-in-process, and finished goods are net of total valuation reserves of $2.3 billion and $2.1 billion as of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FIXED ASSETS,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Fixed assets, net, consisted of the following:</w:t>
      </w:r>
    </w:p>
    <w:tbl>
      <w:tblPr>
        <w:tblW w:w="6650" w:type="dxa"/>
        <w:jc w:val="left"/>
        <w:tblInd w:w="0" w:type="dxa"/>
        <w:tblLayout w:type="fixed"/>
        <w:tblCellMar>
          <w:top w:w="28" w:type="dxa"/>
          <w:left w:w="28" w:type="dxa"/>
          <w:bottom w:w="28" w:type="dxa"/>
          <w:right w:w="28" w:type="dxa"/>
        </w:tblCellMar>
      </w:tblPr>
      <w:tblGrid>
        <w:gridCol w:w="1017"/>
        <w:gridCol w:w="892"/>
        <w:gridCol w:w="896"/>
        <w:gridCol w:w="349"/>
        <w:gridCol w:w="349"/>
        <w:gridCol w:w="351"/>
        <w:gridCol w:w="109"/>
        <w:gridCol w:w="109"/>
        <w:gridCol w:w="109"/>
        <w:gridCol w:w="211"/>
        <w:gridCol w:w="736"/>
        <w:gridCol w:w="109"/>
        <w:gridCol w:w="109"/>
        <w:gridCol w:w="109"/>
        <w:gridCol w:w="109"/>
        <w:gridCol w:w="211"/>
        <w:gridCol w:w="721"/>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tools, and equipment</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gross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04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Leasehold improvements are amortized over the lesser of the remaining lease term or the estimated useful life of the improvement.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Fixed assets, net is recorded predominantly utilizing the straight-line method and was $1.9 billion in 2025 and $1.8 billion in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BORROWINGS AND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 revolving credit agreement with various banks permitting aggregate borrowings of up to $5.0 billion, which expires in August 2028. As of December 31, 2025, there were no borrowings outstanding under this agreement. In addition, at December 31, 2025, approximately $0.6 billion was available under short-term lines of credit primarily with global banks at our international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December 31, 2025, our maximum commercial paper borrowing limit was $5.0 billion as the commercial paper is backed by our $5.0 billion revolving credit agreement. At December 31, 2025 and 2024, we had no commercial paper borrowings outstanding. During 2025 and 2024, we had no new borrowings or repayments of commercial paper with maturities greater than 90 days. During 2023, we had no new borrowings, and $0.2 billion of repayments of commercial paper with maturities greater than 90 days.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2023, we entered into a senior unsecured bridge credit agreement (Bridge Loan) with various banks permitting aggregate borrowings of up to $10.0 billion, to fund an accelerated share repurchase (ASR) and pay related fees and expenses. The $10.0 billion Bridge Loan was paid in full and terminated in the fourth quarter of 2023 upon receipt of proceeds from the $4.0 billion term loan facilities, the $6.0 billion of long-term debt issuances, and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2025 and 2024, we made the following repayments of long-term debt:</w:t>
      </w:r>
    </w:p>
    <w:tbl>
      <w:tblPr>
        <w:tblW w:w="8968" w:type="dxa"/>
        <w:jc w:val="left"/>
        <w:tblInd w:w="0" w:type="dxa"/>
        <w:tblLayout w:type="fixed"/>
        <w:tblCellMar>
          <w:top w:w="28" w:type="dxa"/>
          <w:left w:w="28" w:type="dxa"/>
          <w:bottom w:w="28" w:type="dxa"/>
          <w:right w:w="28" w:type="dxa"/>
        </w:tblCellMar>
      </w:tblPr>
      <w:tblGrid>
        <w:gridCol w:w="610"/>
        <w:gridCol w:w="537"/>
        <w:gridCol w:w="548"/>
        <w:gridCol w:w="1378"/>
        <w:gridCol w:w="1378"/>
        <w:gridCol w:w="1383"/>
        <w:gridCol w:w="664"/>
        <w:gridCol w:w="1986"/>
        <w:gridCol w:w="484"/>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3.950% notes due 2025</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24, 2024</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2024</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3.150% notes due 2024</w:t>
            </w:r>
          </w:p>
        </w:tc>
        <w:tc>
          <w:tcPr>
            <w:tcW w:w="2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2024</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17, 2024</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4, 2024</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15, 2024</w:t>
            </w:r>
          </w:p>
        </w:tc>
        <w:tc>
          <w:tcPr>
            <w:tcW w:w="413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3.200% notes due 2024</w:t>
            </w:r>
          </w:p>
        </w:tc>
        <w:tc>
          <w:tcPr>
            <w:tcW w:w="2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8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December 31:</w:t>
      </w:r>
    </w:p>
    <w:tbl>
      <w:tblPr>
        <w:tblW w:w="6652" w:type="dxa"/>
        <w:jc w:val="left"/>
        <w:tblInd w:w="0" w:type="dxa"/>
        <w:tblLayout w:type="fixed"/>
        <w:tblCellMar>
          <w:top w:w="28" w:type="dxa"/>
          <w:left w:w="28" w:type="dxa"/>
          <w:bottom w:w="28" w:type="dxa"/>
          <w:right w:w="28" w:type="dxa"/>
        </w:tblCellMar>
      </w:tblPr>
      <w:tblGrid>
        <w:gridCol w:w="1724"/>
        <w:gridCol w:w="1512"/>
        <w:gridCol w:w="1518"/>
        <w:gridCol w:w="215"/>
        <w:gridCol w:w="416"/>
        <w:gridCol w:w="109"/>
        <w:gridCol w:w="109"/>
        <w:gridCol w:w="109"/>
        <w:gridCol w:w="109"/>
        <w:gridCol w:w="211"/>
        <w:gridCol w:w="46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3.950% notes due 2025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5.000% notes due 2026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2.650% notes due 2026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2026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2027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3.500% notes due 2027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7.200% notes due 2027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7.100% notes due 2027</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6.700% notes due 2028</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7.000% notes due 2028 </w:t>
            </w:r>
            <w:r>
              <w:rPr>
                <w:rFonts w:ascii="Times New Roman;serif" w:hAnsi="Times New Roman;serif"/>
                <w:b w:val="false"/>
                <w:color w:val="000000"/>
                <w:sz w:val="13"/>
              </w:rPr>
              <w:t xml:space="preserve">(1) </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4.125% notes due 2028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2029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7.500% notes due 2029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2.150% notes due 2030 (€500 million principal value)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2.250% notes due 2030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6.000% notes due 2031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1.900% notes due 2031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2.375% notes due 2032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5.150% notes due 2033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6.100% notes due 2034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5.400% notes due 2035 </w:t>
            </w:r>
            <w:r>
              <w:rPr>
                <w:rFonts w:ascii="Times New Roman;serif" w:hAnsi="Times New Roman;serif"/>
                <w:b w:val="false"/>
                <w:color w:val="000000"/>
                <w:sz w:val="13"/>
              </w:rPr>
              <w:t>(1)</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9414" w:type="dxa"/>
        <w:jc w:val="left"/>
        <w:tblInd w:w="0" w:type="dxa"/>
        <w:tblLayout w:type="fixed"/>
        <w:tblCellMar>
          <w:top w:w="28" w:type="dxa"/>
          <w:left w:w="28" w:type="dxa"/>
          <w:bottom w:w="28" w:type="dxa"/>
          <w:right w:w="28" w:type="dxa"/>
        </w:tblCellMar>
      </w:tblPr>
      <w:tblGrid>
        <w:gridCol w:w="2519"/>
        <w:gridCol w:w="2208"/>
        <w:gridCol w:w="2218"/>
        <w:gridCol w:w="211"/>
        <w:gridCol w:w="736"/>
        <w:gridCol w:w="109"/>
        <w:gridCol w:w="109"/>
        <w:gridCol w:w="109"/>
        <w:gridCol w:w="109"/>
        <w:gridCol w:w="211"/>
        <w:gridCol w:w="721"/>
        <w:gridCol w:w="154"/>
      </w:tblGrid>
      <w:tr>
        <w:trPr/>
        <w:tc>
          <w:tcPr>
            <w:tcW w:w="251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6.050% notes due 2036 </w:t>
            </w:r>
            <w:r>
              <w:rPr>
                <w:rFonts w:ascii="Times New Roman;serif" w:hAnsi="Times New Roman;serif"/>
                <w:b w:val="false"/>
                <w:color w:val="000000"/>
                <w:sz w:val="13"/>
              </w:rPr>
              <w:t>(1)</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6.800% notes due 2036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notes due 2038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6.125% notes due 2038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4.450% notes due 2038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5.700% notes due 2040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notes due 2040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4.700% notes due 2041 </w:t>
            </w:r>
            <w:r>
              <w:rPr>
                <w:rFonts w:ascii="Times New Roman;serif" w:hAnsi="Times New Roman;serif"/>
                <w:b w:val="false"/>
                <w:color w:val="000000"/>
                <w:sz w:val="13"/>
              </w:rPr>
              <w:t xml:space="preserve">(1)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4.500% notes due 2042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4.800% notes due 2043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4.200% notes due 2044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4.150% notes due 2045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3.750% notes due 2046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4.050% notes due 2047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4.350% notes due 2047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notes due 2048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2050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2.820% notes due 2051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3.030% notes due 2052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5.375% notes due 2053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6.400% notes due 2054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long-term debt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market value adjustments, (discounts)/premiums, and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34,288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We may redeem these notes, in whole or in part, at our option pursuant to their terms prior to the applicable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interest rate related to total debt was 4.5% at December 31, 2025 and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average maturity of our long-term debt at December 31, 2025 is approximately 12 years. The schedule of principal payments required on long-term debt for the next five years and thereafter is:</w:t>
      </w:r>
    </w:p>
    <w:tbl>
      <w:tblPr>
        <w:tblW w:w="2060" w:type="dxa"/>
        <w:jc w:val="left"/>
        <w:tblInd w:w="0" w:type="dxa"/>
        <w:tblLayout w:type="fixed"/>
        <w:tblCellMar>
          <w:top w:w="28" w:type="dxa"/>
          <w:left w:w="28" w:type="dxa"/>
          <w:bottom w:w="28" w:type="dxa"/>
          <w:right w:w="28" w:type="dxa"/>
        </w:tblCellMar>
      </w:tblPr>
      <w:tblGrid>
        <w:gridCol w:w="353"/>
        <w:gridCol w:w="310"/>
        <w:gridCol w:w="311"/>
        <w:gridCol w:w="211"/>
        <w:gridCol w:w="72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EMPLOYEE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sponsor various domestic and foreign employee benefit plans, which are discussed below.</w:t>
      </w:r>
    </w:p>
    <w:p>
      <w:pPr>
        <w:pStyle w:val="TextBody"/>
        <w:bidi w:val="0"/>
        <w:spacing w:lineRule="auto" w:line="288" w:before="120" w:after="283"/>
        <w:jc w:val="both"/>
        <w:rPr/>
      </w:pPr>
      <w:r>
        <w:rPr>
          <w:rFonts w:ascii="Times New Roman;serif" w:hAnsi="Times New Roman;serif"/>
          <w:b/>
          <w:color w:val="000000"/>
          <w:sz w:val="20"/>
        </w:rPr>
        <w:t>Employee Savings Plans.</w:t>
      </w:r>
      <w:r>
        <w:rPr>
          <w:color w:val="000000"/>
        </w:rPr>
        <w:t xml:space="preserve"> </w:t>
      </w:r>
      <w:r>
        <w:rPr>
          <w:rFonts w:ascii="Times New Roman;serif" w:hAnsi="Times New Roman;serif"/>
          <w:b w:val="false"/>
          <w:color w:val="000000"/>
          <w:sz w:val="20"/>
        </w:rPr>
        <w:t>We sponsor various employee savings plans. Our contributions to employer sponsored defined contribution plans were $1.4 billion, $1.4 billion, and $1.3 billion for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domestic employee savings plan uses an Employee Stock Ownership Plan (ESOP) for certain employer matching contributions. Prior to the third quarter of 2024, the ESOP held stock that was purchased using external borrowings. As ESOP debt service payments were made, common stock was released from an unallocated ESOP account. ESOP debt was either prepaid or re-amortized to either increase or decrease the number of shares released so that the value of released shares equaled the value of plan benefit. It was also the Company’s option to contribute additional common stock or cash to the ESOP. Shares of common stock were allocated to participants’ ESOP accounts at fair value on the date earned. Cash dividends on unallocated common stock held by the ESOP were used for debt service payments. Cash dividends on allocated shares are either reinvested or paid directly in cash to the participant, according to the participant’s election. Participants chose to have their ESOP dividends reinvested or distributed to their accounts in cash. Common stock allocated to ESOP participants was included in the average number of common shares outstanding for both basic and diluted EPS. At December 31, 2024, all 23 million common shares related to this leveraged ESOP have been allocated to employees.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remaining unallocated ESOP shares were fully allocated to participant accounts through matching contributions, and we began funding the ESOP match in shares on a non-leveraged basis. Under the new non-leveraged basis, treasury shares are utilized to fund the matching contributions, and participants receive units from the ESOP in the amount of their matching contribution at fair value on the date earned. Once shares are contributed to the participants’ ESOP accounts, they have a right to dividend payments and are included in the average number of common shares outstanding for both basic and diluted EPS. In the fourth quarter of 2024, we expanded the funding of our matching contributions in shares under the ESOP to additional participants who previously received matching contributions in cash.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and 2024, we used the ESOP to make matching contributions of $0.6 billion and $0.4 billion, respectively, which was equivalent to 4 million and 3 million shares, respectively.</w:t>
      </w:r>
    </w:p>
    <w:p>
      <w:pPr>
        <w:pStyle w:val="TextBody"/>
        <w:bidi w:val="0"/>
        <w:spacing w:lineRule="auto" w:line="288" w:before="120" w:after="283"/>
        <w:jc w:val="both"/>
        <w:rPr/>
      </w:pPr>
      <w:r>
        <w:rPr>
          <w:rFonts w:ascii="Times New Roman;serif" w:hAnsi="Times New Roman;serif"/>
          <w:b/>
          <w:color w:val="000000"/>
          <w:sz w:val="20"/>
        </w:rPr>
        <w:t>Pension and Postretirement Plans.</w:t>
      </w:r>
      <w:r>
        <w:rPr>
          <w:color w:val="000000"/>
        </w:rPr>
        <w:t xml:space="preserve"> </w:t>
      </w:r>
      <w:r>
        <w:rPr>
          <w:rFonts w:ascii="Times New Roman;serif" w:hAnsi="Times New Roman;serif"/>
          <w:b w:val="false"/>
          <w:color w:val="000000"/>
          <w:sz w:val="20"/>
        </w:rPr>
        <w:t>We sponsor both funded and unfunded domestic and foreign defined benefit pension plans that cover a large number of our employees. Our largest plans are generally closed to new participants. We also sponsor both funded and unfunded PRB plans that provide health care and life insurance benefits to eligible retirees. Our plans use a December 31 measurement date consistent with our fiscal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2023, we merged our remaining Raytheon Company domestic defined benefit pension plans into the RTX Consolidated Pension Plan (the Plan). This plan merger did not impact participants’ benefit formulas.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we completed a buy-out conversion of a group annuity contract previously purchased by the Plan from The Prudential Insurance Company of America (Prudential) transferring approximately $2.3 billion of gross pension obligations from the Plan to Prudential. In connection with the contract purchase, Fiduciary Counselors Inc. acted as independent fiduciary for the Plan. Upon completion of the buy-out conversion, Prudential assumed the obligation and administrative responsibility for retirement benefits owed to approximately 60,000 Plan retirees and beneficiaries, which represents approximately one-third of retirees and beneficiaries in the Plan. The transaction resulted in no change to the amounts of benefits payable and did not diminish the Plan’s funded status. In connection with the transaction, we recognized a one-time, non-cash pension settlement charge of $0.3 billion in the fourth quarter of 2025, recorded in Non-service pension income, within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before="120" w:after="283"/>
        <w:jc w:val="both"/>
        <w:rPr/>
      </w:pPr>
      <w:r>
        <w:rPr/>
      </w:r>
    </w:p>
    <w:tbl>
      <w:tblPr>
        <w:tblW w:w="7899" w:type="dxa"/>
        <w:jc w:val="left"/>
        <w:tblInd w:w="0" w:type="dxa"/>
        <w:tblLayout w:type="fixed"/>
        <w:tblCellMar>
          <w:top w:w="28" w:type="dxa"/>
          <w:left w:w="28" w:type="dxa"/>
          <w:bottom w:w="28" w:type="dxa"/>
          <w:right w:w="28" w:type="dxa"/>
        </w:tblCellMar>
      </w:tblPr>
      <w:tblGrid>
        <w:gridCol w:w="1811"/>
        <w:gridCol w:w="1588"/>
        <w:gridCol w:w="1595"/>
        <w:gridCol w:w="211"/>
        <w:gridCol w:w="736"/>
        <w:gridCol w:w="109"/>
        <w:gridCol w:w="109"/>
        <w:gridCol w:w="109"/>
        <w:gridCol w:w="109"/>
        <w:gridCol w:w="211"/>
        <w:gridCol w:w="721"/>
        <w:gridCol w:w="109"/>
        <w:gridCol w:w="109"/>
        <w:gridCol w:w="109"/>
        <w:gridCol w:w="109"/>
        <w:gridCol w:w="154"/>
      </w:tblGrid>
      <w:tr>
        <w:trPr/>
        <w:tc>
          <w:tcPr>
            <w:tcW w:w="181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benefits paid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 curtailment, and special termination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 and divestitures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Employer contributions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benefits paid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Includes benefit payments paid directly by the company.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amount included in Other primarily reflects the impact of foreign exchange translation, primarily for plans in the United Kingdom and Canada, and participant contributions.</w:t>
      </w:r>
    </w:p>
    <w:tbl>
      <w:tblPr>
        <w:tblW w:w="9983" w:type="dxa"/>
        <w:jc w:val="left"/>
        <w:tblInd w:w="0" w:type="dxa"/>
        <w:tblLayout w:type="fixed"/>
        <w:tblCellMar>
          <w:top w:w="28" w:type="dxa"/>
          <w:left w:w="28" w:type="dxa"/>
          <w:bottom w:w="28" w:type="dxa"/>
          <w:right w:w="28" w:type="dxa"/>
        </w:tblCellMar>
      </w:tblPr>
      <w:tblGrid>
        <w:gridCol w:w="1479"/>
        <w:gridCol w:w="1296"/>
        <w:gridCol w:w="1301"/>
        <w:gridCol w:w="418"/>
        <w:gridCol w:w="1460"/>
        <w:gridCol w:w="216"/>
        <w:gridCol w:w="117"/>
        <w:gridCol w:w="117"/>
        <w:gridCol w:w="117"/>
        <w:gridCol w:w="211"/>
        <w:gridCol w:w="721"/>
        <w:gridCol w:w="109"/>
        <w:gridCol w:w="109"/>
        <w:gridCol w:w="109"/>
        <w:gridCol w:w="109"/>
        <w:gridCol w:w="211"/>
        <w:gridCol w:w="541"/>
        <w:gridCol w:w="109"/>
        <w:gridCol w:w="109"/>
        <w:gridCol w:w="109"/>
        <w:gridCol w:w="109"/>
        <w:gridCol w:w="211"/>
        <w:gridCol w:w="541"/>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PRB</w:t>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w:t>
            </w:r>
          </w:p>
        </w:tc>
        <w:tc>
          <w:tcPr>
            <w:tcW w:w="2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45,114</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(44,454)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of plan</w:t>
            </w:r>
          </w:p>
        </w:tc>
        <w:tc>
          <w:tcPr>
            <w:tcW w:w="4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the Consolidated Balance Sheet Consist of:</w:t>
            </w:r>
          </w:p>
        </w:tc>
        <w:tc>
          <w:tcPr>
            <w:tcW w:w="3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2,339</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4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2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Accumulated Other Comprehensive Loss Consist of:</w:t>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 (gain)</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5,431</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4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4,609</w:t>
            </w:r>
            <w:r>
              <w:rPr>
                <w:color w:val="000000"/>
              </w:rPr>
              <w:t> </w:t>
            </w:r>
          </w:p>
        </w:tc>
        <w:tc>
          <w:tcPr>
            <w:tcW w:w="2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majority of our pension obligations relate to our U.S. Internal Revenue Service (IRS) qualified pension plans, which comprise 86% of our pension PBO as of both December 31, 2025 and 2024. Our nonqualified domestic pension plans, which provide supplementary benefits to certain employees in excess of the IRS qualified plan limits, comprise 3% of our pension PBO as of both December 31, 2025 and 2024. Our international plans comprise 11% of our pension PBO as of both December 31, 2025 and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pension and PRB non-current liabilities shown above, Future pension and postretirement benefit obligations on the Consolidated Balance Sheet includes other immaterial pension and PRB-related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for pension plans with accumulated benefit obligations in excess of plan assets: </w:t>
      </w:r>
    </w:p>
    <w:tbl>
      <w:tblPr>
        <w:tblW w:w="4973" w:type="dxa"/>
        <w:jc w:val="left"/>
        <w:tblInd w:w="0" w:type="dxa"/>
        <w:tblLayout w:type="fixed"/>
        <w:tblCellMar>
          <w:top w:w="28" w:type="dxa"/>
          <w:left w:w="28" w:type="dxa"/>
          <w:bottom w:w="28" w:type="dxa"/>
          <w:right w:w="28" w:type="dxa"/>
        </w:tblCellMar>
      </w:tblPr>
      <w:tblGrid>
        <w:gridCol w:w="984"/>
        <w:gridCol w:w="863"/>
        <w:gridCol w:w="867"/>
        <w:gridCol w:w="211"/>
        <w:gridCol w:w="631"/>
        <w:gridCol w:w="109"/>
        <w:gridCol w:w="109"/>
        <w:gridCol w:w="109"/>
        <w:gridCol w:w="109"/>
        <w:gridCol w:w="211"/>
        <w:gridCol w:w="61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1,634</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accumulated benefit obligation for all defined benefit pension plans was $44.2 billion and $46.1 billion at December 31, 2025 and 2024,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for pension plans with projected benefit obligations in excess of plan assets: </w:t>
      </w:r>
    </w:p>
    <w:tbl>
      <w:tblPr>
        <w:tblW w:w="4973" w:type="dxa"/>
        <w:jc w:val="left"/>
        <w:tblInd w:w="0" w:type="dxa"/>
        <w:tblLayout w:type="fixed"/>
        <w:tblCellMar>
          <w:top w:w="28" w:type="dxa"/>
          <w:left w:w="28" w:type="dxa"/>
          <w:bottom w:w="28" w:type="dxa"/>
          <w:right w:w="28" w:type="dxa"/>
        </w:tblCellMar>
      </w:tblPr>
      <w:tblGrid>
        <w:gridCol w:w="984"/>
        <w:gridCol w:w="863"/>
        <w:gridCol w:w="867"/>
        <w:gridCol w:w="211"/>
        <w:gridCol w:w="631"/>
        <w:gridCol w:w="109"/>
        <w:gridCol w:w="109"/>
        <w:gridCol w:w="109"/>
        <w:gridCol w:w="109"/>
        <w:gridCol w:w="211"/>
        <w:gridCol w:w="61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1,726</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net periodic pension income are as follows: </w:t>
      </w:r>
    </w:p>
    <w:tbl>
      <w:tblPr>
        <w:tblW w:w="9086" w:type="dxa"/>
        <w:jc w:val="left"/>
        <w:tblInd w:w="0" w:type="dxa"/>
        <w:tblLayout w:type="fixed"/>
        <w:tblCellMar>
          <w:top w:w="28" w:type="dxa"/>
          <w:left w:w="28" w:type="dxa"/>
          <w:bottom w:w="28" w:type="dxa"/>
          <w:right w:w="28" w:type="dxa"/>
        </w:tblCellMar>
      </w:tblPr>
      <w:tblGrid>
        <w:gridCol w:w="1943"/>
        <w:gridCol w:w="1702"/>
        <w:gridCol w:w="1709"/>
        <w:gridCol w:w="211"/>
        <w:gridCol w:w="691"/>
        <w:gridCol w:w="109"/>
        <w:gridCol w:w="109"/>
        <w:gridCol w:w="109"/>
        <w:gridCol w:w="109"/>
        <w:gridCol w:w="211"/>
        <w:gridCol w:w="691"/>
        <w:gridCol w:w="109"/>
        <w:gridCol w:w="109"/>
        <w:gridCol w:w="109"/>
        <w:gridCol w:w="109"/>
        <w:gridCol w:w="211"/>
        <w:gridCol w:w="691"/>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net loss (gain)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 curtailment, and special termination benefits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(1,014)</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changes in pension plan assets and benefit obligations recognized in other comprehensive loss in 2025 and 2024 are as follows:</w:t>
      </w:r>
    </w:p>
    <w:tbl>
      <w:tblPr>
        <w:tblW w:w="8889" w:type="dxa"/>
        <w:jc w:val="left"/>
        <w:tblInd w:w="0" w:type="dxa"/>
        <w:tblLayout w:type="fixed"/>
        <w:tblCellMar>
          <w:top w:w="28" w:type="dxa"/>
          <w:left w:w="28" w:type="dxa"/>
          <w:bottom w:w="28" w:type="dxa"/>
          <w:right w:w="28" w:type="dxa"/>
        </w:tblCellMar>
      </w:tblPr>
      <w:tblGrid>
        <w:gridCol w:w="2307"/>
        <w:gridCol w:w="2022"/>
        <w:gridCol w:w="2030"/>
        <w:gridCol w:w="109"/>
        <w:gridCol w:w="109"/>
        <w:gridCol w:w="109"/>
        <w:gridCol w:w="109"/>
        <w:gridCol w:w="211"/>
        <w:gridCol w:w="541"/>
        <w:gridCol w:w="109"/>
        <w:gridCol w:w="109"/>
        <w:gridCol w:w="109"/>
        <w:gridCol w:w="109"/>
        <w:gridCol w:w="211"/>
        <w:gridCol w:w="541"/>
        <w:gridCol w:w="154"/>
      </w:tblGrid>
      <w:tr>
        <w:trPr/>
        <w:tc>
          <w:tcPr>
            <w:tcW w:w="230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 arising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settlement and curtailment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recognized in net periodic pension income and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The amount included in Other primarily reflects the impact of foreign exchange translation, primarily for plans in the United Kingdom and Canada.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Actuarial loss arising in 2025 was primarily due to a decrease in discount rates during 2025, partially offset by actual asset returns greater than our expected return on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Actuarial loss arising in 2024 was primarily due to actual asset returns less than our expected return on assets, partially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offset by an increase in discount rates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total benefit payments expected to be paid from the pension plans or from corporate assets.</w:t>
      </w:r>
    </w:p>
    <w:tbl>
      <w:tblPr>
        <w:tblW w:w="2699" w:type="dxa"/>
        <w:jc w:val="left"/>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82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Assumptions used in determining the pension benefit obligation and net periodic pension income are presented in the following table as weighted-averages: </w:t>
      </w:r>
    </w:p>
    <w:tbl>
      <w:tblPr>
        <w:tblW w:w="8225" w:type="dxa"/>
        <w:jc w:val="left"/>
        <w:tblInd w:w="0" w:type="dxa"/>
        <w:tblLayout w:type="fixed"/>
        <w:tblCellMar>
          <w:top w:w="28" w:type="dxa"/>
          <w:left w:w="28" w:type="dxa"/>
          <w:bottom w:w="28" w:type="dxa"/>
          <w:right w:w="28" w:type="dxa"/>
        </w:tblCellMar>
      </w:tblPr>
      <w:tblGrid>
        <w:gridCol w:w="933"/>
        <w:gridCol w:w="820"/>
        <w:gridCol w:w="826"/>
        <w:gridCol w:w="109"/>
        <w:gridCol w:w="109"/>
        <w:gridCol w:w="109"/>
        <w:gridCol w:w="210"/>
        <w:gridCol w:w="211"/>
        <w:gridCol w:w="458"/>
        <w:gridCol w:w="165"/>
        <w:gridCol w:w="165"/>
        <w:gridCol w:w="165"/>
        <w:gridCol w:w="203"/>
        <w:gridCol w:w="203"/>
        <w:gridCol w:w="422"/>
        <w:gridCol w:w="109"/>
        <w:gridCol w:w="109"/>
        <w:gridCol w:w="109"/>
        <w:gridCol w:w="210"/>
        <w:gridCol w:w="211"/>
        <w:gridCol w:w="304"/>
        <w:gridCol w:w="110"/>
        <w:gridCol w:w="110"/>
        <w:gridCol w:w="110"/>
        <w:gridCol w:w="203"/>
        <w:gridCol w:w="203"/>
        <w:gridCol w:w="274"/>
        <w:gridCol w:w="110"/>
        <w:gridCol w:w="110"/>
        <w:gridCol w:w="110"/>
        <w:gridCol w:w="203"/>
        <w:gridCol w:w="203"/>
        <w:gridCol w:w="31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Periodic Pension Income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cost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cost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N/A</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Salary scale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N/A</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crediting rate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45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The discount rates used to measure the service cost and interest cost applies to our significant plans. The PBO discount rate is used for the service cost and interest cost measurements for non-significant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discount rates used to measure pension liabilities are generally based on yield curves developed using high-quality corporate bonds as well as plan specific expected cash flows. For our significant plans, we utilize a full yield curve approach in the estimation of the service cost and interest cost components of net periodic pension income by applying the specific spot rates along the yield curve used in determination of the benefit obligation to the relevant discounted projected 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determining the EROA assumption, we consider the target asset allocation of plan assets, as well as economic and other indicators of future performance. We consult with and consider the opinions of financial and other professionals in determining the appropriate capital market assumptions. Return projections are validated using a simulation model that incorporates yield curves, credit spreads, and risk premiums to project long-term prospective returns.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assumptions include actuarial and demographic assumptions including mortality rates and retirement age.</w:t>
      </w:r>
    </w:p>
    <w:p>
      <w:pPr>
        <w:pStyle w:val="TextBody"/>
        <w:bidi w:val="0"/>
        <w:spacing w:lineRule="auto" w:line="288" w:before="120" w:after="283"/>
        <w:jc w:val="both"/>
        <w:rPr/>
      </w:pPr>
      <w:r>
        <w:rPr>
          <w:rFonts w:ascii="Times New Roman;serif" w:hAnsi="Times New Roman;serif"/>
          <w:b/>
          <w:color w:val="000000"/>
          <w:sz w:val="20"/>
        </w:rPr>
        <w:t>Plan Assets.</w:t>
      </w:r>
      <w:r>
        <w:rPr>
          <w:color w:val="000000"/>
        </w:rPr>
        <w:t xml:space="preserve"> </w:t>
      </w:r>
      <w:r>
        <w:rPr>
          <w:rFonts w:ascii="Times New Roman;serif" w:hAnsi="Times New Roman;serif"/>
          <w:b w:val="false"/>
          <w:color w:val="000000"/>
          <w:sz w:val="20"/>
        </w:rPr>
        <w:t>The plans’ investment management objectives include providing the liquidity and asset levels needed to meet current and future benefit payments, while maintaining a prudent degree of portfolio diversification considering interest rate risk and market volatility. Globally, on average, investment strategies generally target a mix o</w:t>
      </w:r>
      <w:r>
        <w:rPr>
          <w:rFonts w:ascii="Times New Roman;serif" w:hAnsi="Times New Roman;serif"/>
          <w:b w:val="false"/>
          <w:color w:val="000000"/>
          <w:sz w:val="20"/>
          <w:shd w:fill="FFFFFF" w:val="clear"/>
        </w:rPr>
        <w:t xml:space="preserve">f 26% to 46% </w:t>
      </w:r>
      <w:r>
        <w:rPr>
          <w:rFonts w:ascii="Times New Roman;serif" w:hAnsi="Times New Roman;serif"/>
          <w:b w:val="false"/>
          <w:color w:val="000000"/>
          <w:sz w:val="20"/>
        </w:rPr>
        <w:t xml:space="preserve">of growth seeking assets and 54% to </w:t>
      </w:r>
      <w:r>
        <w:rPr>
          <w:rFonts w:ascii="Times New Roman;serif" w:hAnsi="Times New Roman;serif"/>
          <w:b w:val="false"/>
          <w:color w:val="000000"/>
          <w:sz w:val="20"/>
          <w:shd w:fill="FFFFFF" w:val="clear"/>
        </w:rPr>
        <w:t xml:space="preserve">74% of </w:t>
      </w:r>
      <w:r>
        <w:rPr>
          <w:rFonts w:ascii="Times New Roman;serif" w:hAnsi="Times New Roman;serif"/>
          <w:b w:val="false"/>
          <w:color w:val="000000"/>
          <w:sz w:val="20"/>
        </w:rPr>
        <w:t>income generating and hedging assets using a wide set of diversified asset types, fund strategies, and investment managers. The growth seeking allocation consists of global public equities in developed and emerging countries, private equity, and real estate. Investments in private equity are primarily via limited partnership interests in buy-out strategies. The real estate strategy is principally concentrated in directly held U.S. core investments with some smaller investments in international, value-added, and opportunistic strategies. Within the income generating assets, the fixed income portfolio consists of mainly government and broadly diversified high quality corporate bonds.</w:t>
      </w:r>
    </w:p>
    <w:p>
      <w:pPr>
        <w:pStyle w:val="TextBody"/>
        <w:bidi w:val="0"/>
        <w:spacing w:lineRule="auto" w:line="288" w:before="120" w:after="283"/>
        <w:jc w:val="both"/>
        <w:rPr/>
      </w:pPr>
      <w:r>
        <w:rPr>
          <w:rFonts w:ascii="Times New Roman;serif" w:hAnsi="Times New Roman;serif"/>
          <w:b w:val="false"/>
          <w:color w:val="000000"/>
          <w:sz w:val="20"/>
        </w:rPr>
        <w:t>The plans have continued pension risk management techniques designed to reduce their interest rate risk. Specifically, the plans have incorporated liability hedging programs that include the adoption of a risk reduction objective as part of the long-term investment strategy. Under this objective the interest rate hedge is intended to increase as funded status improves. The hedging programs incorporate a range of assets and investment tools, each with varying interest rate sensitivities. The investment portfolios currently hedge approximatel</w:t>
      </w:r>
      <w:r>
        <w:rPr>
          <w:rFonts w:ascii="Times New Roman;serif" w:hAnsi="Times New Roman;serif"/>
          <w:b w:val="false"/>
          <w:color w:val="000000"/>
          <w:sz w:val="20"/>
          <w:shd w:fill="FFFFFF" w:val="clear"/>
        </w:rPr>
        <w:t>y 80%</w:t>
      </w:r>
      <w:r>
        <w:rPr>
          <w:color w:val="000000"/>
        </w:rPr>
        <w:t xml:space="preserve"> </w:t>
      </w:r>
      <w:r>
        <w:rPr>
          <w:rFonts w:ascii="Times New Roman;serif" w:hAnsi="Times New Roman;serif"/>
          <w:b w:val="false"/>
          <w:color w:val="000000"/>
          <w:sz w:val="20"/>
        </w:rPr>
        <w:t>of the pension plan liabilities’ interest</w:t>
        <w:noBreakHyphen/>
        <w:t>rate sensitivity, with the exact level varying based on the plan’s funded status. The hedging assets portfolio also includes an enhanced alpha strategy that invests in equity, fixed income, derivatives, and foreign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pension plan assets at December 31, 2025 and 2024 by asset category are as follows:</w:t>
      </w:r>
    </w:p>
    <w:tbl>
      <w:tblPr>
        <w:tblW w:w="10205" w:type="dxa"/>
        <w:jc w:val="left"/>
        <w:tblInd w:w="0" w:type="dxa"/>
        <w:tblLayout w:type="fixed"/>
        <w:tblCellMar>
          <w:top w:w="28" w:type="dxa"/>
          <w:left w:w="28" w:type="dxa"/>
          <w:bottom w:w="28" w:type="dxa"/>
          <w:right w:w="28" w:type="dxa"/>
        </w:tblCellMar>
      </w:tblPr>
      <w:tblGrid>
        <w:gridCol w:w="1087"/>
        <w:gridCol w:w="551"/>
        <w:gridCol w:w="476"/>
        <w:gridCol w:w="365"/>
        <w:gridCol w:w="1278"/>
        <w:gridCol w:w="190"/>
        <w:gridCol w:w="109"/>
        <w:gridCol w:w="109"/>
        <w:gridCol w:w="109"/>
        <w:gridCol w:w="241"/>
        <w:gridCol w:w="841"/>
        <w:gridCol w:w="124"/>
        <w:gridCol w:w="109"/>
        <w:gridCol w:w="109"/>
        <w:gridCol w:w="109"/>
        <w:gridCol w:w="279"/>
        <w:gridCol w:w="837"/>
        <w:gridCol w:w="145"/>
        <w:gridCol w:w="109"/>
        <w:gridCol w:w="109"/>
        <w:gridCol w:w="109"/>
        <w:gridCol w:w="234"/>
        <w:gridCol w:w="817"/>
        <w:gridCol w:w="121"/>
        <w:gridCol w:w="109"/>
        <w:gridCol w:w="109"/>
        <w:gridCol w:w="109"/>
        <w:gridCol w:w="211"/>
        <w:gridCol w:w="736"/>
        <w:gridCol w:w="364"/>
      </w:tblGrid>
      <w:tr>
        <w:trPr/>
        <w:tc>
          <w:tcPr>
            <w:tcW w:w="10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Significant Observable Inputs</w:t>
              <w:br/>
              <w:t xml:space="preserve">(Level 2)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Not Subject to Leveling </w:t>
            </w:r>
            <w:r>
              <w:rPr>
                <w:rFonts w:ascii="Times New Roman;serif" w:hAnsi="Times New Roman;serif"/>
                <w:b/>
                <w:color w:val="000000"/>
                <w:sz w:val="10"/>
              </w:rPr>
              <w:t>(7)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Total</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Category:</w:t>
            </w:r>
          </w:p>
        </w:tc>
        <w:tc>
          <w:tcPr>
            <w:tcW w:w="1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Equities</w:t>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Equities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5,781</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5,790</w:t>
            </w: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 xml:space="preserve">Global Equity Commingled Funds </w:t>
            </w:r>
            <w:r>
              <w:rPr>
                <w:rFonts w:ascii="Times New Roman;serif" w:hAnsi="Times New Roman;serif"/>
                <w:b w:val="false"/>
                <w:color w:val="000000"/>
                <w:sz w:val="13"/>
              </w:rPr>
              <w:t>(1)</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Public Equities</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2,531</w:t>
            </w: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Equities</w:t>
            </w:r>
            <w:r>
              <w:rPr>
                <w:color w:val="000000"/>
              </w:rPr>
              <w:t xml:space="preserve"> </w:t>
            </w:r>
            <w:r>
              <w:rPr>
                <w:rFonts w:ascii="Times New Roman;serif" w:hAnsi="Times New Roman;serif"/>
                <w:b w:val="false"/>
                <w:color w:val="000000"/>
                <w:sz w:val="13"/>
              </w:rPr>
              <w:t>(2)</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4,987</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5,078</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6,960</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8,846</w:t>
            </w: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Structured Products</w:t>
            </w:r>
            <w:r>
              <w:rPr>
                <w:color w:val="000000"/>
              </w:rPr>
              <w:t xml:space="preserve"> </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 Income</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10,875</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10,875</w:t>
            </w: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w:t>
            </w:r>
            <w:r>
              <w:rPr>
                <w:color w:val="000000"/>
              </w:rPr>
              <w:t xml:space="preserve"> </w:t>
            </w:r>
            <w:r>
              <w:rPr>
                <w:rFonts w:ascii="Times New Roman;serif" w:hAnsi="Times New Roman;serif"/>
                <w:b w:val="false"/>
                <w:color w:val="000000"/>
                <w:sz w:val="13"/>
              </w:rPr>
              <w:t>(3)</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(4)</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&amp; Cash Equivalents</w:t>
            </w:r>
            <w:r>
              <w:rPr>
                <w:color w:val="000000"/>
              </w:rPr>
              <w:t xml:space="preserve"> </w:t>
            </w:r>
            <w:r>
              <w:rPr>
                <w:rFonts w:ascii="Times New Roman;serif" w:hAnsi="Times New Roman;serif"/>
                <w:b w:val="false"/>
                <w:color w:val="000000"/>
                <w:sz w:val="13"/>
              </w:rPr>
              <w:t>(5)</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10,859</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20,188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44,339</w:t>
            </w: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 xml:space="preserve">Other Assets &amp; Liabilities </w:t>
            </w:r>
            <w:r>
              <w:rPr>
                <w:rFonts w:ascii="Times New Roman;serif" w:hAnsi="Times New Roman;serif"/>
                <w:b w:val="false"/>
                <w:color w:val="000000"/>
                <w:sz w:val="13"/>
              </w:rPr>
              <w:t>(6)</w:t>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at December 31, 2025</w:t>
            </w:r>
          </w:p>
        </w:tc>
        <w:tc>
          <w:tcPr>
            <w:tcW w:w="1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45,114</w:t>
            </w: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Equities</w:t>
            </w:r>
          </w:p>
        </w:tc>
        <w:tc>
          <w:tcPr>
            <w:tcW w:w="18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Equities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 xml:space="preserve">Global Equity Commingled Funds </w:t>
            </w:r>
            <w:r>
              <w:rPr>
                <w:rFonts w:ascii="Times New Roman;serif" w:hAnsi="Times New Roman;serif"/>
                <w:b w:val="false"/>
                <w:color w:val="000000"/>
                <w:sz w:val="13"/>
              </w:rPr>
              <w:t>(1)</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Public Equities</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Equities</w:t>
            </w:r>
            <w:r>
              <w:rPr>
                <w:color w:val="000000"/>
              </w:rPr>
              <w:t xml:space="preserve"> </w:t>
            </w:r>
            <w:r>
              <w:rPr>
                <w:rFonts w:ascii="Times New Roman;serif" w:hAnsi="Times New Roman;serif"/>
                <w:b w:val="false"/>
                <w:color w:val="000000"/>
                <w:sz w:val="13"/>
              </w:rPr>
              <w:t>(2)</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Structured Products</w:t>
            </w:r>
            <w:r>
              <w:rPr>
                <w:color w:val="000000"/>
              </w:rPr>
              <w:t xml:space="preserve"> </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 Income</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w:t>
            </w:r>
            <w:r>
              <w:rPr>
                <w:color w:val="000000"/>
              </w:rPr>
              <w:t xml:space="preserve"> </w:t>
            </w:r>
            <w:r>
              <w:rPr>
                <w:rFonts w:ascii="Times New Roman;serif" w:hAnsi="Times New Roman;serif"/>
                <w:b w:val="false"/>
                <w:color w:val="000000"/>
                <w:sz w:val="13"/>
              </w:rPr>
              <w:t>(3)</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(4)</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&amp; Cash Equivalents</w:t>
            </w:r>
            <w:r>
              <w:rPr>
                <w:color w:val="000000"/>
              </w:rPr>
              <w:t xml:space="preserve"> </w:t>
            </w:r>
            <w:r>
              <w:rPr>
                <w:rFonts w:ascii="Times New Roman;serif" w:hAnsi="Times New Roman;serif"/>
                <w:b w:val="false"/>
                <w:color w:val="000000"/>
                <w:sz w:val="13"/>
              </w:rPr>
              <w:t>(5)</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25"/>
              <w:jc w:val="left"/>
              <w:rPr/>
            </w:pPr>
            <w:r>
              <w:rPr>
                <w:rFonts w:ascii="Times New Roman;serif" w:hAnsi="Times New Roman;serif"/>
                <w:b w:val="false"/>
                <w:color w:val="000000"/>
                <w:sz w:val="20"/>
              </w:rPr>
              <w:t xml:space="preserve">Other Assets &amp; Liabilities </w:t>
            </w:r>
            <w:r>
              <w:rPr>
                <w:rFonts w:ascii="Times New Roman;serif" w:hAnsi="Times New Roman;serif"/>
                <w:b w:val="false"/>
                <w:color w:val="000000"/>
                <w:sz w:val="13"/>
              </w:rPr>
              <w:t>(6)</w:t>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at December 31, 2024</w:t>
            </w:r>
          </w:p>
        </w:tc>
        <w:tc>
          <w:tcPr>
            <w:tcW w:w="183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46,414 </w:t>
            </w:r>
          </w:p>
        </w:tc>
        <w:tc>
          <w:tcPr>
            <w:tcW w:w="3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commingled funds that invest primarily in common stocks.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limited partnership investments with general partners that primarily invest in equity and debt.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investments in real estate including commingled funds and directly held properties.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Primarily represents insurance contracts.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short-term commercial paper, bonds, and other cash or cash-like instruments.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Represents receivables, payables, and certain individually immaterial international plan assets that are not leveled.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pension benefits plan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in the plan are primarily used to manage risk and gain asset class exposure while still maintaining liquidity. Derivative instruments mainly consist of equity futures, interest rate futures, interest rate swaps, and currency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contracts. The fair market value of the plans’ derivatives through direct or separate account investments was approximately ($8) million and ($120) million as of December 31, 2025 and 2024,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review our assets at least quarterly to ensure we are within the targeted asset allocation ranges and, if necessary, asset balances are adjusted back within target allocations. We employ a broadly diversified investment manager structure that includes diversification by active and passive management, style, capitalization, country, sector, industry, and number of investment managers. With the exception of certain cash investment vehicles, no individual investment represented more than 5% of the plan assets as of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measurement of plan assets using significant unobservable inputs (Level 3) changed due to the following:</w:t>
      </w:r>
    </w:p>
    <w:tbl>
      <w:tblPr>
        <w:tblW w:w="8251" w:type="dxa"/>
        <w:jc w:val="left"/>
        <w:tblInd w:w="0" w:type="dxa"/>
        <w:tblLayout w:type="fixed"/>
        <w:tblCellMar>
          <w:top w:w="28" w:type="dxa"/>
          <w:left w:w="28" w:type="dxa"/>
          <w:bottom w:w="28" w:type="dxa"/>
          <w:right w:w="28" w:type="dxa"/>
        </w:tblCellMar>
      </w:tblPr>
      <w:tblGrid>
        <w:gridCol w:w="2237"/>
        <w:gridCol w:w="1959"/>
        <w:gridCol w:w="1969"/>
        <w:gridCol w:w="109"/>
        <w:gridCol w:w="109"/>
        <w:gridCol w:w="109"/>
        <w:gridCol w:w="109"/>
        <w:gridCol w:w="109"/>
        <w:gridCol w:w="109"/>
        <w:gridCol w:w="109"/>
        <w:gridCol w:w="109"/>
        <w:gridCol w:w="109"/>
        <w:gridCol w:w="109"/>
        <w:gridCol w:w="211"/>
        <w:gridCol w:w="631"/>
        <w:gridCol w:w="154"/>
      </w:tblGrid>
      <w:tr>
        <w:trPr/>
        <w:tc>
          <w:tcPr>
            <w:tcW w:w="2237"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relating to instruments still held in the reporting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sales, and settlements,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relating to instruments still held in the reporting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sales, and settlements,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Quoted market prices are used to value investments when available. Investments in securities traded on exchanges, including listed futures and options, are valued at the last reported sale prices on the last business day of the year or, if not available, the last reported bid prices. Fixed income securities are primarily measured using a market approach pricing methodology, where observable prices are obtained by market transactions involving identical or comparable securities of issuers with similar credit ratings. Mortgages have been valued on the basis of their future principal and interest payments discounted at prevailing interest rates for similar investments. Investment contracts are valued at fair value by discounting the related cash flows based on current yields of similar instruments with comparable durations. Real estate investments are valued on a quarterly basis using discounted cash flow models which consider long-term lease estimates, future rental receipts, and estimated residual values. Valuation estimates are supplemented by third-party appraisals on an annual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market value of assets related to our PRB benefits was $0.3 billion as of December 31, 2025 and 2024, respectively. The assets are primarily invested in mutual funds held within Voluntary Employees’ Beneficiary Association (VEBA) trusts and are valued using quoted prices in active markets (Level 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Consolidated Balance Sheet. The fair value of marketable securities held in trusts as of December 31 was as follows:</w:t>
      </w:r>
    </w:p>
    <w:tbl>
      <w:tblPr>
        <w:tblW w:w="4914" w:type="dxa"/>
        <w:jc w:val="left"/>
        <w:tblInd w:w="0" w:type="dxa"/>
        <w:tblLayout w:type="fixed"/>
        <w:tblCellMar>
          <w:top w:w="28" w:type="dxa"/>
          <w:left w:w="28" w:type="dxa"/>
          <w:bottom w:w="28" w:type="dxa"/>
          <w:right w:w="28" w:type="dxa"/>
        </w:tblCellMar>
      </w:tblPr>
      <w:tblGrid>
        <w:gridCol w:w="1072"/>
        <w:gridCol w:w="940"/>
        <w:gridCol w:w="943"/>
        <w:gridCol w:w="211"/>
        <w:gridCol w:w="481"/>
        <w:gridCol w:w="109"/>
        <w:gridCol w:w="109"/>
        <w:gridCol w:w="109"/>
        <w:gridCol w:w="109"/>
        <w:gridCol w:w="211"/>
        <w:gridCol w:w="466"/>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lease agreements for the use of real estate space, vehicles, IT equipment, and certain other equipment, including engines, under both operating and finance leases. The majority of our lease agreements are accounted for as operating leases. Operating lease expense was $495 million, $422 million, and $463 million for 2025, 2024, and 2023, respectively. Finance leases are not considered significant to our Consolidated Balance Sheet, Consolidated Statement of Operations, or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Leases under which we are the lessor are generally short-term leases that support our commercial aerospace customers during engine maintenance events. Our commercial aerospace customers have varying forms of aftermarket maintenance coverage that often provide a level of support for leased engines as part of the revenue arrangement. As such, leases where we are the lessor are not considered significant to our Consolidated Balance Sheet, Consolidated Statement of Operations, or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2024, and 2023, we entered into sale and leaseback transactions for the sale of new engines and related maintenance. We subsequently lease back the engines sold for a limited timeframe and account for them as operating leases. The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received as a result of sales of new engines are classified primarily in Other operating activities, net within our Consolidated Statement of Cash Flows. The net gains as a result of these transactions were not material.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were as follows:</w:t>
      </w:r>
    </w:p>
    <w:tbl>
      <w:tblPr>
        <w:tblW w:w="10205" w:type="dxa"/>
        <w:jc w:val="left"/>
        <w:tblInd w:w="0" w:type="dxa"/>
        <w:tblLayout w:type="fixed"/>
        <w:tblCellMar>
          <w:top w:w="28" w:type="dxa"/>
          <w:left w:w="28" w:type="dxa"/>
          <w:bottom w:w="28" w:type="dxa"/>
          <w:right w:w="28" w:type="dxa"/>
        </w:tblCellMar>
      </w:tblPr>
      <w:tblGrid>
        <w:gridCol w:w="2588"/>
        <w:gridCol w:w="2268"/>
        <w:gridCol w:w="2276"/>
        <w:gridCol w:w="211"/>
        <w:gridCol w:w="481"/>
        <w:gridCol w:w="109"/>
        <w:gridCol w:w="109"/>
        <w:gridCol w:w="109"/>
        <w:gridCol w:w="109"/>
        <w:gridCol w:w="211"/>
        <w:gridCol w:w="466"/>
        <w:gridCol w:w="109"/>
        <w:gridCol w:w="109"/>
        <w:gridCol w:w="109"/>
        <w:gridCol w:w="109"/>
        <w:gridCol w:w="211"/>
        <w:gridCol w:w="466"/>
        <w:gridCol w:w="155"/>
      </w:tblGrid>
      <w:tr>
        <w:trPr/>
        <w:tc>
          <w:tcPr>
            <w:tcW w:w="258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7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obligations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Future lease payments related to our operating lease liabilities as of December 31, 2025 are as follows:</w:t>
      </w:r>
    </w:p>
    <w:tbl>
      <w:tblPr>
        <w:tblW w:w="4401" w:type="dxa"/>
        <w:jc w:val="left"/>
        <w:tblInd w:w="0" w:type="dxa"/>
        <w:tblLayout w:type="fixed"/>
        <w:tblCellMar>
          <w:top w:w="28" w:type="dxa"/>
          <w:left w:w="28" w:type="dxa"/>
          <w:bottom w:w="28" w:type="dxa"/>
          <w:right w:w="28" w:type="dxa"/>
        </w:tblCellMar>
      </w:tblPr>
      <w:tblGrid>
        <w:gridCol w:w="1082"/>
        <w:gridCol w:w="949"/>
        <w:gridCol w:w="953"/>
        <w:gridCol w:w="211"/>
        <w:gridCol w:w="616"/>
        <w:gridCol w:w="109"/>
        <w:gridCol w:w="109"/>
        <w:gridCol w:w="109"/>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discounted lease payments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lease liabilities recognized in our Consolidated Balance Sheet were as follows as of December 31:</w:t>
      </w:r>
    </w:p>
    <w:tbl>
      <w:tblPr>
        <w:tblW w:w="8214" w:type="dxa"/>
        <w:jc w:val="left"/>
        <w:tblInd w:w="0" w:type="dxa"/>
        <w:tblLayout w:type="fixed"/>
        <w:tblCellMar>
          <w:top w:w="28" w:type="dxa"/>
          <w:left w:w="28" w:type="dxa"/>
          <w:bottom w:w="28" w:type="dxa"/>
          <w:right w:w="28" w:type="dxa"/>
        </w:tblCellMar>
      </w:tblPr>
      <w:tblGrid>
        <w:gridCol w:w="2160"/>
        <w:gridCol w:w="1894"/>
        <w:gridCol w:w="1901"/>
        <w:gridCol w:w="211"/>
        <w:gridCol w:w="631"/>
        <w:gridCol w:w="109"/>
        <w:gridCol w:w="109"/>
        <w:gridCol w:w="109"/>
        <w:gridCol w:w="109"/>
        <w:gridCol w:w="211"/>
        <w:gridCol w:w="616"/>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(included in Other accrued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related to our operating leases was 9 years and 10 years as of December 31, 2025 and 2024, respectively. The weighted-average discount rate related to our operating leases was 4.3%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180" w:after="283"/>
        <w:jc w:val="both"/>
        <w:rPr/>
      </w:pPr>
      <w:r>
        <w:rPr>
          <w:rFonts w:ascii="Times New Roman;serif" w:hAnsi="Times New Roman;serif"/>
          <w:b/>
          <w:color w:val="000000"/>
          <w:sz w:val="20"/>
        </w:rPr>
        <w:t xml:space="preserve">Income Before Income Taxes. </w:t>
      </w:r>
      <w:r>
        <w:rPr>
          <w:rFonts w:ascii="Times New Roman;serif" w:hAnsi="Times New Roman;serif"/>
          <w:b w:val="false"/>
          <w:color w:val="000000"/>
          <w:sz w:val="20"/>
        </w:rPr>
        <w:t>The sources of income before income taxes are:</w:t>
      </w:r>
    </w:p>
    <w:tbl>
      <w:tblPr>
        <w:tblW w:w="5906" w:type="dxa"/>
        <w:jc w:val="left"/>
        <w:tblInd w:w="0" w:type="dxa"/>
        <w:tblLayout w:type="fixed"/>
        <w:tblCellMar>
          <w:top w:w="28" w:type="dxa"/>
          <w:left w:w="28" w:type="dxa"/>
          <w:bottom w:w="28" w:type="dxa"/>
          <w:right w:w="28" w:type="dxa"/>
        </w:tblCellMar>
      </w:tblPr>
      <w:tblGrid>
        <w:gridCol w:w="865"/>
        <w:gridCol w:w="758"/>
        <w:gridCol w:w="761"/>
        <w:gridCol w:w="211"/>
        <w:gridCol w:w="631"/>
        <w:gridCol w:w="109"/>
        <w:gridCol w:w="109"/>
        <w:gridCol w:w="109"/>
        <w:gridCol w:w="109"/>
        <w:gridCol w:w="211"/>
        <w:gridCol w:w="616"/>
        <w:gridCol w:w="109"/>
        <w:gridCol w:w="109"/>
        <w:gridCol w:w="109"/>
        <w:gridCol w:w="109"/>
        <w:gridCol w:w="211"/>
        <w:gridCol w:w="61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United States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includes the impacts of the Powder Metal Matter.</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Provision for Income Taxes. </w:t>
      </w:r>
      <w:r>
        <w:rPr>
          <w:rFonts w:ascii="Times New Roman;serif" w:hAnsi="Times New Roman;serif"/>
          <w:b w:val="false"/>
          <w:color w:val="000000"/>
          <w:sz w:val="20"/>
        </w:rPr>
        <w:t>The income tax expense for the years ended December 31 are as follows:</w:t>
      </w:r>
    </w:p>
    <w:tbl>
      <w:tblPr>
        <w:tblW w:w="5096" w:type="dxa"/>
        <w:jc w:val="left"/>
        <w:tblInd w:w="0" w:type="dxa"/>
        <w:tblLayout w:type="fixed"/>
        <w:tblCellMar>
          <w:top w:w="28" w:type="dxa"/>
          <w:left w:w="28" w:type="dxa"/>
          <w:bottom w:w="28" w:type="dxa"/>
          <w:right w:w="28" w:type="dxa"/>
        </w:tblCellMar>
      </w:tblPr>
      <w:tblGrid>
        <w:gridCol w:w="625"/>
        <w:gridCol w:w="548"/>
        <w:gridCol w:w="551"/>
        <w:gridCol w:w="211"/>
        <w:gridCol w:w="631"/>
        <w:gridCol w:w="109"/>
        <w:gridCol w:w="109"/>
        <w:gridCol w:w="109"/>
        <w:gridCol w:w="109"/>
        <w:gridCol w:w="211"/>
        <w:gridCol w:w="616"/>
        <w:gridCol w:w="109"/>
        <w:gridCol w:w="109"/>
        <w:gridCol w:w="109"/>
        <w:gridCol w:w="109"/>
        <w:gridCol w:w="211"/>
        <w:gridCol w:w="46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2022, research and experimental expenditures were generally deductible in the period incurred. A provision enacted in the Tax Cuts and Jobs Act of 2017 (TCJA) related to the capitalization of research and experimental expenditures for tax purposes became effective on January 1, 2022. In September and December 2023, the IRS issued interim guidance, retroactive to 2022, clarifying the capitalization requirements for certain types of research and experimental expenditures, which resulted in fewer costs being subject to capitalization. On July 4, 2025, “An Act to Provide for Reconciliation Pursuant to Title II of the H. Con. Res. 14” (the Act) was enacted. The Act allows for the immediate deductibility of research and experimental expenditures performed in the United States and certain U.S. territories. These legislative changes have impacted our federal and state current and deferred income tax provisions in the above table.</w:t>
      </w:r>
    </w:p>
    <w:p>
      <w:pPr>
        <w:pStyle w:val="TextBody"/>
        <w:bidi w:val="0"/>
        <w:spacing w:lineRule="auto" w:line="288" w:before="120" w:after="283"/>
        <w:jc w:val="both"/>
        <w:rPr/>
      </w:pPr>
      <w:r>
        <w:rPr>
          <w:rFonts w:ascii="Times New Roman;serif" w:hAnsi="Times New Roman;serif"/>
          <w:b/>
          <w:color w:val="000000"/>
          <w:sz w:val="20"/>
        </w:rPr>
        <w:t xml:space="preserve">Reconciliation of Effective Income Tax Rate. </w:t>
      </w:r>
      <w:r>
        <w:rPr>
          <w:rFonts w:ascii="Times New Roman;serif" w:hAnsi="Times New Roman;serif"/>
          <w:b w:val="false"/>
          <w:color w:val="000000"/>
          <w:sz w:val="20"/>
        </w:rPr>
        <w:t>The Company adopted ASU 2023-09, Income Taxes (Topic 740): Improvements to Income Tax Disclosures, prospectively as of January 1, 2025. Differences between effective income tax rates and the statutory U.S. federal income tax rate are as follows:</w:t>
      </w:r>
    </w:p>
    <w:tbl>
      <w:tblPr>
        <w:tblW w:w="7087" w:type="dxa"/>
        <w:jc w:val="left"/>
        <w:tblInd w:w="0" w:type="dxa"/>
        <w:tblLayout w:type="fixed"/>
        <w:tblCellMar>
          <w:top w:w="28" w:type="dxa"/>
          <w:left w:w="28" w:type="dxa"/>
          <w:bottom w:w="28" w:type="dxa"/>
          <w:right w:w="28" w:type="dxa"/>
        </w:tblCellMar>
      </w:tblPr>
      <w:tblGrid>
        <w:gridCol w:w="1909"/>
        <w:gridCol w:w="1674"/>
        <w:gridCol w:w="1681"/>
        <w:gridCol w:w="211"/>
        <w:gridCol w:w="631"/>
        <w:gridCol w:w="109"/>
        <w:gridCol w:w="263"/>
        <w:gridCol w:w="263"/>
        <w:gridCol w:w="346"/>
      </w:tblGrid>
      <w:tr>
        <w:trPr/>
        <w:tc>
          <w:tcPr>
            <w:tcW w:w="19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U.S. Federal Income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federal income tax effect </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Research and development tax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Worldwide Changes in Prior Year Unrecognized Tax Benefits</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3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State and local taxes include current and deferred income taxes exclusive of changes in prior year uncertain tax positions.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Federal, State, and Foreign income tax effects related to prior year uncertain tax positions.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Federal income tax benefits related to legal entity reorganizations.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tbl>
      <w:tblPr>
        <w:tblW w:w="7855" w:type="dxa"/>
        <w:jc w:val="left"/>
        <w:tblInd w:w="0" w:type="dxa"/>
        <w:tblLayout w:type="fixed"/>
        <w:tblCellMar>
          <w:top w:w="28" w:type="dxa"/>
          <w:left w:w="28" w:type="dxa"/>
          <w:bottom w:w="28" w:type="dxa"/>
          <w:right w:w="28" w:type="dxa"/>
        </w:tblCellMar>
      </w:tblPr>
      <w:tblGrid>
        <w:gridCol w:w="1403"/>
        <w:gridCol w:w="1231"/>
        <w:gridCol w:w="1236"/>
        <w:gridCol w:w="109"/>
        <w:gridCol w:w="109"/>
        <w:gridCol w:w="109"/>
        <w:gridCol w:w="211"/>
        <w:gridCol w:w="616"/>
        <w:gridCol w:w="109"/>
        <w:gridCol w:w="255"/>
        <w:gridCol w:w="256"/>
        <w:gridCol w:w="271"/>
        <w:gridCol w:w="109"/>
        <w:gridCol w:w="109"/>
        <w:gridCol w:w="109"/>
        <w:gridCol w:w="211"/>
        <w:gridCol w:w="466"/>
        <w:gridCol w:w="109"/>
        <w:gridCol w:w="255"/>
        <w:gridCol w:w="256"/>
        <w:gridCol w:w="316"/>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827" w:type="dxa"/>
            <w:gridSpan w:val="3"/>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Rate</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U.S.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international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 of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audit settlements and statute lapse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Non-deductible legal charges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2024 includes the impact of certain non-deductible legal charges related to the Resolution of Certain Legal Matters. See “Note 17: Commitments and Contingencies”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2025 and 2024 effective tax rates are the same, the 2025 effective rate reflects a lower U.S. tax benefit associated with Foreign Derived Intangible Income resulting from the Act. Both periods include tax benefits associated with certain legal entity reorganizations and the tax effects of dispositions.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2024 effective tax rate includes tax benefits of $0.3 billion resulting from the conclusion of the examination phases of the U.S. federal income tax audits for RTX 2017 and 2018 tax years and Rockwell Collins 2016, 2017, and 2018 tax years. Also included in the 2024 effective tax rate is a $0.2 billion tax charge related to U.S. federal income taxes owed by the Company resulting from a favorable non-U.S. tax ruling Otis received in 2024. The ruling Otis received reduces U.S. foreign tax credits previously claimed by the Company in pre-separation tax years. This item is subject to a tax matters agreement entered into with Carrier and Otis in connection with the separations of those businesses in 2020. Accordingly, the Company recorded a pre-tax benefit of $0.2 billion for a portion of the indemnity owed by Otis to the Company for the reduction in foreign taxes in the pre-separation years. Additionally, the Company is indemnified by Otis for the associated interest related to the Otis non-US ruling.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2023 effective tax rate includes a deferred tax benefit of $0.7 billion associated with the $2.9 billion Powder Metal Matter pre-tax charge.</w:t>
      </w:r>
    </w:p>
    <w:p>
      <w:pPr>
        <w:pStyle w:val="TextBody"/>
        <w:bidi w:val="0"/>
        <w:spacing w:lineRule="auto" w:line="288" w:before="120" w:after="283"/>
        <w:jc w:val="both"/>
        <w:rPr/>
      </w:pPr>
      <w:r>
        <w:rPr>
          <w:rFonts w:ascii="Times New Roman;serif" w:hAnsi="Times New Roman;serif"/>
          <w:b/>
          <w:color w:val="000000"/>
          <w:sz w:val="20"/>
        </w:rPr>
        <w:t xml:space="preserve">Income Taxes Paid. </w:t>
      </w:r>
      <w:r>
        <w:rPr>
          <w:rFonts w:ascii="Times New Roman;serif" w:hAnsi="Times New Roman;serif"/>
          <w:b w:val="false"/>
          <w:color w:val="000000"/>
          <w:sz w:val="20"/>
        </w:rPr>
        <w:t>We made net income tax payments of $1.6 billion in 2025, further disaggregated as follows:</w:t>
      </w:r>
    </w:p>
    <w:tbl>
      <w:tblPr>
        <w:tblW w:w="4341" w:type="dxa"/>
        <w:jc w:val="left"/>
        <w:tblInd w:w="0" w:type="dxa"/>
        <w:tblLayout w:type="fixed"/>
        <w:tblCellMar>
          <w:top w:w="28" w:type="dxa"/>
          <w:left w:w="28" w:type="dxa"/>
          <w:bottom w:w="28" w:type="dxa"/>
          <w:right w:w="28" w:type="dxa"/>
        </w:tblCellMar>
      </w:tblPr>
      <w:tblGrid>
        <w:gridCol w:w="1213"/>
        <w:gridCol w:w="1064"/>
        <w:gridCol w:w="1068"/>
        <w:gridCol w:w="211"/>
        <w:gridCol w:w="631"/>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Internal Revenue Code Section 965 installment payments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Foreign payments are spread across various jurisdictions, none of which are individually significant</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Deferred Tax Assets and Liabilities. </w:t>
      </w:r>
      <w:r>
        <w:rPr>
          <w:rFonts w:ascii="Times New Roman;serif" w:hAnsi="Times New Roman;serif"/>
          <w:b w:val="false"/>
          <w:color w:val="000000"/>
          <w:sz w:val="20"/>
        </w:rPr>
        <w:t>The tax effects of temporary differences and tax carryforwards which gave rise to future income tax benefits and payables at December 31, 2025 and 2024 are as follows:</w:t>
      </w:r>
    </w:p>
    <w:tbl>
      <w:tblPr>
        <w:tblW w:w="7013" w:type="dxa"/>
        <w:jc w:val="left"/>
        <w:tblInd w:w="0" w:type="dxa"/>
        <w:tblLayout w:type="fixed"/>
        <w:tblCellMar>
          <w:top w:w="28" w:type="dxa"/>
          <w:left w:w="28" w:type="dxa"/>
          <w:bottom w:w="28" w:type="dxa"/>
          <w:right w:w="28" w:type="dxa"/>
        </w:tblCellMar>
      </w:tblPr>
      <w:tblGrid>
        <w:gridCol w:w="1725"/>
        <w:gridCol w:w="1511"/>
        <w:gridCol w:w="1518"/>
        <w:gridCol w:w="211"/>
        <w:gridCol w:w="631"/>
        <w:gridCol w:w="109"/>
        <w:gridCol w:w="109"/>
        <w:gridCol w:w="109"/>
        <w:gridCol w:w="109"/>
        <w:gridCol w:w="211"/>
        <w:gridCol w:w="61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 benefits: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research and experimental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basis differences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Powder Metal Matter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 and other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income tax benefits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taxes payable:</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and contract balances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basis differences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income tax payable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Valuation allowances have been established primarily for tax credit carryforwards, tax loss carryforwards, and certain temporary differences to reduce the future income tax benefits to expected realizable amounts.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to valuation allowances consisted of the following:</w:t>
      </w:r>
    </w:p>
    <w:tbl>
      <w:tblPr>
        <w:tblW w:w="7136" w:type="dxa"/>
        <w:jc w:val="left"/>
        <w:tblInd w:w="0" w:type="dxa"/>
        <w:tblLayout w:type="fixed"/>
        <w:tblCellMar>
          <w:top w:w="28" w:type="dxa"/>
          <w:left w:w="28" w:type="dxa"/>
          <w:bottom w:w="28" w:type="dxa"/>
          <w:right w:w="28" w:type="dxa"/>
        </w:tblCellMar>
      </w:tblPr>
      <w:tblGrid>
        <w:gridCol w:w="1311"/>
        <w:gridCol w:w="1149"/>
        <w:gridCol w:w="1154"/>
        <w:gridCol w:w="211"/>
        <w:gridCol w:w="631"/>
        <w:gridCol w:w="109"/>
        <w:gridCol w:w="109"/>
        <w:gridCol w:w="109"/>
        <w:gridCol w:w="109"/>
        <w:gridCol w:w="211"/>
        <w:gridCol w:w="616"/>
        <w:gridCol w:w="109"/>
        <w:gridCol w:w="109"/>
        <w:gridCol w:w="109"/>
        <w:gridCol w:w="109"/>
        <w:gridCol w:w="211"/>
        <w:gridCol w:w="616"/>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credited to 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includes the addition of the indefinite-lived tax loss carryforwards now disclosed in connection with Organisation for Economic Co-operation and Development (OECD) Pillar Two.</w:t>
      </w:r>
    </w:p>
    <w:p>
      <w:pPr>
        <w:pStyle w:val="TextBody"/>
        <w:bidi w:val="0"/>
        <w:spacing w:lineRule="auto" w:line="288" w:before="120" w:after="283"/>
        <w:jc w:val="both"/>
        <w:rPr/>
      </w:pPr>
      <w:r>
        <w:rPr>
          <w:rFonts w:ascii="Times New Roman;serif" w:hAnsi="Times New Roman;serif"/>
          <w:b/>
          <w:color w:val="000000"/>
          <w:sz w:val="20"/>
        </w:rPr>
        <w:t xml:space="preserve">Tax Credit, Loss and Other Carryforwards. </w:t>
      </w:r>
      <w:r>
        <w:rPr>
          <w:rFonts w:ascii="Times New Roman;serif" w:hAnsi="Times New Roman;serif"/>
          <w:b w:val="false"/>
          <w:color w:val="000000"/>
          <w:sz w:val="20"/>
        </w:rPr>
        <w:t>At December 31, 2025, tax credit carryforwards, principally state and foreign, and tax loss carryforwards, principally state and foreign, were as follows:</w:t>
      </w:r>
    </w:p>
    <w:tbl>
      <w:tblPr>
        <w:tblW w:w="6745" w:type="dxa"/>
        <w:jc w:val="left"/>
        <w:tblInd w:w="0" w:type="dxa"/>
        <w:tblLayout w:type="fixed"/>
        <w:tblCellMar>
          <w:top w:w="28" w:type="dxa"/>
          <w:left w:w="28" w:type="dxa"/>
          <w:bottom w:w="28" w:type="dxa"/>
          <w:right w:w="28" w:type="dxa"/>
        </w:tblCellMar>
      </w:tblPr>
      <w:tblGrid>
        <w:gridCol w:w="587"/>
        <w:gridCol w:w="515"/>
        <w:gridCol w:w="517"/>
        <w:gridCol w:w="541"/>
        <w:gridCol w:w="1234"/>
        <w:gridCol w:w="280"/>
        <w:gridCol w:w="109"/>
        <w:gridCol w:w="109"/>
        <w:gridCol w:w="109"/>
        <w:gridCol w:w="581"/>
        <w:gridCol w:w="1737"/>
        <w:gridCol w:w="426"/>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Credit Carryforwards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Loss and Other Carryforwards</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period:</w:t>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2026-2030</w:t>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w:t>
            </w:r>
            <w:r>
              <w:rPr>
                <w:color w:val="000000"/>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2036-2045</w:t>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w:t>
            </w:r>
            <w:r>
              <w:rPr>
                <w:color w:val="000000"/>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3,773</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w:t>
            </w:r>
            <w:r>
              <w:rPr>
                <w:color w:val="000000"/>
              </w:rPr>
              <w:t> </w:t>
            </w:r>
          </w:p>
        </w:tc>
        <w:tc>
          <w:tcPr>
            <w:tcW w:w="2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5,872</w:t>
            </w:r>
            <w:r>
              <w:rPr>
                <w:color w:val="000000"/>
              </w:rPr>
              <w:t> </w:t>
            </w:r>
          </w:p>
        </w:tc>
        <w:tc>
          <w:tcPr>
            <w:tcW w:w="4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repatriate certain undistributed earnings of its international subsidiaries that have been previously taxed in the U.S. As such, we recorded the taxes associated with the future remittance of these earnings. For the remainder of the Company’s undistributed international earnings, unless tax effective to repatriate, the Company will continue to permanently reinvest these earnings. It is not practicable to estimate the amount of tax that might be payable on the remaining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Unrecognized Tax Benefits. </w:t>
      </w:r>
      <w:r>
        <w:rPr>
          <w:rFonts w:ascii="Times New Roman;serif" w:hAnsi="Times New Roman;serif"/>
          <w:b w:val="false"/>
          <w:color w:val="000000"/>
          <w:sz w:val="20"/>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At December 31, 2025, we had gross tax-effected unrecognized tax benefits of $1,227 million, of which $1,218 million, if recognized, would impact the effective tax rate. A reconciliation of the beginning and ending amounts of unrecognized tax benefits and interest expense related to unrecognized tax benefits for the years ended December 31, 2025, 2024, and 2023 is as follows: </w:t>
      </w:r>
    </w:p>
    <w:tbl>
      <w:tblPr>
        <w:tblW w:w="8397" w:type="dxa"/>
        <w:jc w:val="left"/>
        <w:tblInd w:w="0" w:type="dxa"/>
        <w:tblLayout w:type="fixed"/>
        <w:tblCellMar>
          <w:top w:w="28" w:type="dxa"/>
          <w:left w:w="28" w:type="dxa"/>
          <w:bottom w:w="28" w:type="dxa"/>
          <w:right w:w="28" w:type="dxa"/>
        </w:tblCellMar>
      </w:tblPr>
      <w:tblGrid>
        <w:gridCol w:w="1769"/>
        <w:gridCol w:w="1549"/>
        <w:gridCol w:w="1557"/>
        <w:gridCol w:w="211"/>
        <w:gridCol w:w="631"/>
        <w:gridCol w:w="109"/>
        <w:gridCol w:w="109"/>
        <w:gridCol w:w="109"/>
        <w:gridCol w:w="109"/>
        <w:gridCol w:w="211"/>
        <w:gridCol w:w="616"/>
        <w:gridCol w:w="109"/>
        <w:gridCol w:w="109"/>
        <w:gridCol w:w="109"/>
        <w:gridCol w:w="109"/>
        <w:gridCol w:w="211"/>
        <w:gridCol w:w="616"/>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interest expense related to unrecognized tax benefits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interest balance at December 31</w:t>
            </w:r>
          </w:p>
        </w:tc>
        <w:tc>
          <w:tcPr>
            <w:tcW w:w="84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certain Internal Revenue Service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expects resolution at the Appeals Division for the RTX and Rockwell tax years within the next twelve months. The timing of any resolution at the Appeals Division for the Raytheon Company tax years is uncertain.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2025, the Company received an unfavorable decision from the Appeals Committee of the Kingdom of Saudi Arabia (KSA) General Secretariat of the Tax Committees (GSTC) assessing taxes and delay fines. The Company appealed this decision and on December 2, 2025, the GSTC issued a final decision with respect to income tax and withholding tax assessments substantially reversing its prior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pStyle w:val="TextBody"/>
        <w:bidi w:val="0"/>
        <w:spacing w:lineRule="auto" w:line="288" w:before="120" w:after="283"/>
        <w:jc w:val="both"/>
        <w:rPr/>
      </w:pPr>
      <w:r>
        <w:rPr>
          <w:rFonts w:ascii="Times New Roman;serif" w:hAnsi="Times New Roman;serif"/>
          <w:b w:val="false"/>
          <w:color w:val="000000"/>
          <w:sz w:val="20"/>
        </w:rPr>
        <w:t xml:space="preserve">The present value of the aggregate notional principal of our outstanding foreign currency hedges was </w:t>
      </w:r>
      <w:r>
        <w:rPr>
          <w:rFonts w:ascii="Times New Roman;serif" w:hAnsi="Times New Roman;serif"/>
          <w:b w:val="false"/>
          <w:color w:val="000000"/>
          <w:sz w:val="20"/>
          <w:shd w:fill="FFFFFF" w:val="clear"/>
        </w:rPr>
        <w:t xml:space="preserve">$26 billion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$17 billion</w:t>
      </w:r>
      <w:r>
        <w:rPr>
          <w:color w:val="000000"/>
        </w:rPr>
        <w:t xml:space="preserve"> </w:t>
      </w:r>
      <w:r>
        <w:rPr>
          <w:rFonts w:ascii="Times New Roman;serif" w:hAnsi="Times New Roman;serif"/>
          <w:b w:val="false"/>
          <w:color w:val="000000"/>
          <w:sz w:val="20"/>
        </w:rPr>
        <w:t xml:space="preserve">at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in the Consolidated Balance Sheet for derivative instruments as of December 31:</w:t>
      </w:r>
    </w:p>
    <w:tbl>
      <w:tblPr>
        <w:tblW w:w="8287" w:type="dxa"/>
        <w:jc w:val="left"/>
        <w:tblInd w:w="0" w:type="dxa"/>
        <w:tblLayout w:type="fixed"/>
        <w:tblCellMar>
          <w:top w:w="28" w:type="dxa"/>
          <w:left w:w="28" w:type="dxa"/>
          <w:bottom w:w="28" w:type="dxa"/>
          <w:right w:w="28" w:type="dxa"/>
        </w:tblCellMar>
      </w:tblPr>
      <w:tblGrid>
        <w:gridCol w:w="1550"/>
        <w:gridCol w:w="1359"/>
        <w:gridCol w:w="1365"/>
        <w:gridCol w:w="684"/>
        <w:gridCol w:w="684"/>
        <w:gridCol w:w="686"/>
        <w:gridCol w:w="211"/>
        <w:gridCol w:w="481"/>
        <w:gridCol w:w="109"/>
        <w:gridCol w:w="109"/>
        <w:gridCol w:w="109"/>
        <w:gridCol w:w="109"/>
        <w:gridCol w:w="211"/>
        <w:gridCol w:w="46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At December 31, 2025, all derivative contracts accounted for as cash flow hedges will mature b</w:t>
      </w:r>
      <w:r>
        <w:rPr>
          <w:rFonts w:ascii="Times New Roman;serif" w:hAnsi="Times New Roman;serif"/>
          <w:b w:val="false"/>
          <w:color w:val="000000"/>
          <w:sz w:val="20"/>
          <w:shd w:fill="FFFFFF" w:val="clear"/>
        </w:rPr>
        <w:t>y May 2036.</w:t>
      </w:r>
      <w:r>
        <w:rPr>
          <w:color w:val="000000"/>
        </w:rPr>
        <w:t xml:space="preserve"> </w:t>
      </w:r>
      <w:r>
        <w:rPr>
          <w:rFonts w:ascii="Times New Roman;serif" w:hAnsi="Times New Roman;serif"/>
          <w:b w:val="false"/>
          <w:color w:val="000000"/>
          <w:sz w:val="20"/>
        </w:rPr>
        <w:t>Cash receipts or payments on derivatives designated as cash flow hedges are recorded in Other operating activities, net within the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we had €320 million of our €500 million principal value of euro-denominated long-term debt designated as a net investment hedge against our investments in European businesses. After March 31, 2025, this was no longer designated as a net investment hedge and subsequent effects are reflected within Other income (expense),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 of cash flow hedging relationships on Accumulated other comprehensive loss and on the Consolidated Statement of Operations in 2025 and 2024 are presented in “Note 18: Equity.” The hedged items and derivatives designated as hedging instruments are highly effective.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 of derivatives not designated as hedging instruments and related items is included within Other income (expense), net, on the Consolidated Statement of Operations and is not significant. Cash receipts or payments related to the settlement of derivatives not designated as hedging instruments are recorded as investing cash flows within the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carried at fair value and measured on a recurring basis in our Consolidated Balance Sheet:</w:t>
      </w:r>
    </w:p>
    <w:tbl>
      <w:tblPr>
        <w:tblW w:w="7035" w:type="dxa"/>
        <w:jc w:val="left"/>
        <w:tblInd w:w="0" w:type="dxa"/>
        <w:tblLayout w:type="fixed"/>
        <w:tblCellMar>
          <w:top w:w="28" w:type="dxa"/>
          <w:left w:w="28" w:type="dxa"/>
          <w:bottom w:w="28" w:type="dxa"/>
          <w:right w:w="28" w:type="dxa"/>
        </w:tblCellMar>
      </w:tblPr>
      <w:tblGrid>
        <w:gridCol w:w="1081"/>
        <w:gridCol w:w="947"/>
        <w:gridCol w:w="957"/>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3</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90" w:type="dxa"/>
        <w:jc w:val="left"/>
        <w:tblInd w:w="0" w:type="dxa"/>
        <w:tblLayout w:type="fixed"/>
        <w:tblCellMar>
          <w:top w:w="28" w:type="dxa"/>
          <w:left w:w="28" w:type="dxa"/>
          <w:bottom w:w="28" w:type="dxa"/>
          <w:right w:w="28" w:type="dxa"/>
        </w:tblCellMar>
      </w:tblPr>
      <w:tblGrid>
        <w:gridCol w:w="1081"/>
        <w:gridCol w:w="947"/>
        <w:gridCol w:w="957"/>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2024</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i/>
                <w:color w:val="000000"/>
                <w:sz w:val="16"/>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3</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7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Valuation Techniques.</w:t>
      </w:r>
      <w:r>
        <w:rPr>
          <w:color w:val="000000"/>
        </w:rPr>
        <w:t xml:space="preserve"> </w:t>
      </w:r>
      <w:r>
        <w:rPr>
          <w:rFonts w:ascii="Times New Roman;serif" w:hAnsi="Times New Roman;serif"/>
          <w:b w:val="false"/>
          <w:color w:val="000000"/>
          <w:sz w:val="20"/>
        </w:rPr>
        <w:t xml:space="preserve">Our derivative assets and liabilities include foreign exchange contracts that are measured at fair value using internal models based on observable market inputs such as forward rates, interest rates, our own credit risk, and our counterparties’ credit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carrying amounts and fair values of financial instruments that are not carried at fair value in our Consolidated Balance Sheet at December 31:</w:t>
      </w:r>
    </w:p>
    <w:tbl>
      <w:tblPr>
        <w:tblW w:w="9406" w:type="dxa"/>
        <w:jc w:val="left"/>
        <w:tblInd w:w="0" w:type="dxa"/>
        <w:tblLayout w:type="fixed"/>
        <w:tblCellMar>
          <w:top w:w="28" w:type="dxa"/>
          <w:left w:w="28" w:type="dxa"/>
          <w:bottom w:w="28" w:type="dxa"/>
          <w:right w:w="28" w:type="dxa"/>
        </w:tblCellMar>
      </w:tblPr>
      <w:tblGrid>
        <w:gridCol w:w="1284"/>
        <w:gridCol w:w="1126"/>
        <w:gridCol w:w="1130"/>
        <w:gridCol w:w="281"/>
        <w:gridCol w:w="983"/>
        <w:gridCol w:w="145"/>
        <w:gridCol w:w="109"/>
        <w:gridCol w:w="109"/>
        <w:gridCol w:w="109"/>
        <w:gridCol w:w="211"/>
        <w:gridCol w:w="736"/>
        <w:gridCol w:w="109"/>
        <w:gridCol w:w="109"/>
        <w:gridCol w:w="109"/>
        <w:gridCol w:w="109"/>
        <w:gridCol w:w="270"/>
        <w:gridCol w:w="925"/>
        <w:gridCol w:w="139"/>
        <w:gridCol w:w="109"/>
        <w:gridCol w:w="109"/>
        <w:gridCol w:w="109"/>
        <w:gridCol w:w="211"/>
        <w:gridCol w:w="7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37,627</w:t>
            </w:r>
            <w:r>
              <w:rPr>
                <w:color w:val="000000"/>
              </w:rPr>
              <w:t> </w:t>
            </w:r>
          </w:p>
        </w:tc>
        <w:tc>
          <w:tcPr>
            <w:tcW w:w="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35,733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40,991 </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not carried at fair value in our Consolidated Balance Sheet at December 31:</w:t>
      </w:r>
    </w:p>
    <w:tbl>
      <w:tblPr>
        <w:tblW w:w="8205"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406"/>
        <w:gridCol w:w="109"/>
        <w:gridCol w:w="109"/>
        <w:gridCol w:w="109"/>
        <w:gridCol w:w="109"/>
        <w:gridCol w:w="211"/>
        <w:gridCol w:w="736"/>
        <w:gridCol w:w="109"/>
        <w:gridCol w:w="109"/>
        <w:gridCol w:w="109"/>
        <w:gridCol w:w="109"/>
        <w:gridCol w:w="211"/>
        <w:gridCol w:w="48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35,733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0" w:type="dxa"/>
        <w:jc w:val="left"/>
        <w:tblInd w:w="0" w:type="dxa"/>
        <w:tblLayout w:type="fixed"/>
        <w:tblCellMar>
          <w:top w:w="28" w:type="dxa"/>
          <w:left w:w="28" w:type="dxa"/>
          <w:bottom w:w="28" w:type="dxa"/>
          <w:right w:w="28" w:type="dxa"/>
        </w:tblCellMar>
      </w:tblPr>
      <w:tblGrid>
        <w:gridCol w:w="1284"/>
        <w:gridCol w:w="1126"/>
        <w:gridCol w:w="1130"/>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Short-term borrowings approximates the carrying value due to their short-term nature and is classified as level 3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VARIABLE INTEREST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 classification of assets and liabilities for variable interest entities in our Consolidated Balance Sheet as of December 31, 2025 and 2024 are as follows:</w:t>
      </w:r>
    </w:p>
    <w:tbl>
      <w:tblPr>
        <w:tblW w:w="4389" w:type="dxa"/>
        <w:jc w:val="left"/>
        <w:tblInd w:w="0" w:type="dxa"/>
        <w:tblLayout w:type="fixed"/>
        <w:tblCellMar>
          <w:top w:w="28" w:type="dxa"/>
          <w:left w:w="28" w:type="dxa"/>
          <w:bottom w:w="28" w:type="dxa"/>
          <w:right w:w="28" w:type="dxa"/>
        </w:tblCellMar>
      </w:tblPr>
      <w:tblGrid>
        <w:gridCol w:w="697"/>
        <w:gridCol w:w="610"/>
        <w:gridCol w:w="613"/>
        <w:gridCol w:w="211"/>
        <w:gridCol w:w="736"/>
        <w:gridCol w:w="109"/>
        <w:gridCol w:w="109"/>
        <w:gridCol w:w="109"/>
        <w:gridCol w:w="109"/>
        <w:gridCol w:w="211"/>
        <w:gridCol w:w="72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16,265</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extend a variety of financial, market value, and product performance guarantees to third parties. These instruments expire on various dates through 2062. Additional guarantees of project performance for which there is no stated value also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outstanding. A portion of our third party guarantees are subject to indemnification for our benefit for any liabilities that could arise. As of December 31, 2025 and 2024, the following financial guarantees were outstanding:</w:t>
      </w:r>
    </w:p>
    <w:tbl>
      <w:tblPr>
        <w:tblW w:w="10205" w:type="dxa"/>
        <w:jc w:val="left"/>
        <w:tblInd w:w="0" w:type="dxa"/>
        <w:tblLayout w:type="fixed"/>
        <w:tblCellMar>
          <w:top w:w="28" w:type="dxa"/>
          <w:left w:w="28" w:type="dxa"/>
          <w:bottom w:w="28" w:type="dxa"/>
          <w:right w:w="28" w:type="dxa"/>
        </w:tblCellMar>
      </w:tblPr>
      <w:tblGrid>
        <w:gridCol w:w="1036"/>
        <w:gridCol w:w="893"/>
        <w:gridCol w:w="798"/>
        <w:gridCol w:w="428"/>
        <w:gridCol w:w="978"/>
        <w:gridCol w:w="222"/>
        <w:gridCol w:w="109"/>
        <w:gridCol w:w="109"/>
        <w:gridCol w:w="109"/>
        <w:gridCol w:w="483"/>
        <w:gridCol w:w="930"/>
        <w:gridCol w:w="251"/>
        <w:gridCol w:w="109"/>
        <w:gridCol w:w="109"/>
        <w:gridCol w:w="109"/>
        <w:gridCol w:w="416"/>
        <w:gridCol w:w="920"/>
        <w:gridCol w:w="218"/>
        <w:gridCol w:w="109"/>
        <w:gridCol w:w="109"/>
        <w:gridCol w:w="109"/>
        <w:gridCol w:w="449"/>
        <w:gridCol w:w="865"/>
        <w:gridCol w:w="337"/>
      </w:tblGrid>
      <w:tr>
        <w:trPr/>
        <w:tc>
          <w:tcPr>
            <w:tcW w:w="103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2024</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Carrying Amount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Carrying Amount of Liability</w:t>
            </w:r>
          </w:p>
        </w:tc>
      </w:tr>
      <w:tr>
        <w:trPr/>
        <w:tc>
          <w:tcPr>
            <w:tcW w:w="2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financing arrangements</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guarantees</w:t>
            </w:r>
          </w:p>
        </w:tc>
        <w:tc>
          <w:tcPr>
            <w:tcW w:w="140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w:t>
            </w:r>
            <w:r>
              <w:rPr>
                <w:color w:val="000000"/>
              </w:rPr>
              <w:t> </w:t>
            </w:r>
          </w:p>
        </w:tc>
        <w:tc>
          <w:tcPr>
            <w:tcW w:w="2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was $0.1 billion at December 31, 2025 and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were $0.1 billion at December 31, 2025 and 2024. These primarily relate to environmental liabilities, which are included in our total environmental liabilities as further discussed in “Note 17: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and product performance guarantees for the years ended December 31 were as follows:</w:t>
      </w:r>
    </w:p>
    <w:tbl>
      <w:tblPr>
        <w:tblW w:w="7376" w:type="dxa"/>
        <w:jc w:val="left"/>
        <w:tblInd w:w="0" w:type="dxa"/>
        <w:tblLayout w:type="fixed"/>
        <w:tblCellMar>
          <w:top w:w="28" w:type="dxa"/>
          <w:left w:w="28" w:type="dxa"/>
          <w:bottom w:w="28" w:type="dxa"/>
          <w:right w:w="28" w:type="dxa"/>
        </w:tblCellMar>
      </w:tblPr>
      <w:tblGrid>
        <w:gridCol w:w="1398"/>
        <w:gridCol w:w="1226"/>
        <w:gridCol w:w="1230"/>
        <w:gridCol w:w="211"/>
        <w:gridCol w:w="631"/>
        <w:gridCol w:w="109"/>
        <w:gridCol w:w="109"/>
        <w:gridCol w:w="109"/>
        <w:gridCol w:w="109"/>
        <w:gridCol w:w="211"/>
        <w:gridCol w:w="616"/>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performance guarantees issued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and service guarantees incurred in connection with long-term production contracts and certain aftermarket arrangements are generally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color w:val="000000"/>
          <w:sz w:val="20"/>
        </w:rPr>
        <w:t>Environmental.</w:t>
      </w:r>
      <w:r>
        <w:rPr>
          <w:color w:val="000000"/>
        </w:rPr>
        <w:t xml:space="preserve"> </w:t>
      </w:r>
      <w:r>
        <w:rPr>
          <w:rFonts w:ascii="Times New Roman;serif" w:hAnsi="Times New Roman;serif"/>
          <w:b w:val="false"/>
          <w:color w:val="000000"/>
          <w:sz w:val="20"/>
        </w:rPr>
        <w:t>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December 31, 2025 and 2024, we had $0.8 billion reserved for environmental remediation. Additional information pertaining to environmental matters is included in “Note 1: Basis of Presentation and Summary of Accounting Principles.”</w:t>
      </w:r>
    </w:p>
    <w:p>
      <w:pPr>
        <w:pStyle w:val="TextBody"/>
        <w:bidi w:val="0"/>
        <w:spacing w:lineRule="auto" w:line="288" w:before="120" w:after="283"/>
        <w:jc w:val="both"/>
        <w:rPr/>
      </w:pPr>
      <w:r>
        <w:rPr>
          <w:rFonts w:ascii="Times New Roman;serif" w:hAnsi="Times New Roman;serif"/>
          <w:b/>
          <w:color w:val="000000"/>
          <w:sz w:val="20"/>
        </w:rPr>
        <w:t xml:space="preserve">Commercial Aerospace Financing and Other Commitments. </w:t>
      </w:r>
      <w:r>
        <w:rPr>
          <w:rFonts w:ascii="Times New Roman;serif" w:hAnsi="Times New Roman;serif"/>
          <w:b w:val="false"/>
          <w:color w:val="000000"/>
          <w:sz w:val="20"/>
        </w:rPr>
        <w:t xml:space="preserve">We had commercial aerospace financing commitments and other contractual commitments of approximately $13 billion and $14 billion as of December 31, 2025 and 2024, respectively, on a gross basis before reduction for our collaboration partners’ share. Aircraft financing commitments, in the form of debt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other contractual commitments to make payments to secure certain contractual rights to provide product on new aircraft platforms. The estimated amount and timing of these payments, which are generally based on future sales or engine flight hours, are reflected in “Other commercial aerospace commitments” in the table below.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commercial aerospace commitments” below, will be capitalized as collaboration intangible assets as payments are made.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the expected maturity of our commercial aerospace industry commitments as of December 31, 2025:</w:t>
      </w:r>
    </w:p>
    <w:tbl>
      <w:tblPr>
        <w:tblW w:w="10205" w:type="dxa"/>
        <w:jc w:val="left"/>
        <w:tblInd w:w="0" w:type="dxa"/>
        <w:tblLayout w:type="fixed"/>
        <w:tblCellMar>
          <w:top w:w="28" w:type="dxa"/>
          <w:left w:w="28" w:type="dxa"/>
          <w:bottom w:w="28" w:type="dxa"/>
          <w:right w:w="28" w:type="dxa"/>
        </w:tblCellMar>
      </w:tblPr>
      <w:tblGrid>
        <w:gridCol w:w="845"/>
        <w:gridCol w:w="699"/>
        <w:gridCol w:w="535"/>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6"/>
      </w:tblGrid>
      <w:tr>
        <w:trPr/>
        <w:tc>
          <w:tcPr>
            <w:tcW w:w="84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Committed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Thereafter</w:t>
            </w:r>
          </w:p>
        </w:tc>
      </w:tr>
      <w:tr>
        <w:trPr/>
        <w:tc>
          <w:tcPr>
            <w:tcW w:w="2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financing commitments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aerospace commitments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partners’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aerospace commitments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20"/>
        </w:rPr>
        <w:t xml:space="preserve">Other Financing Arrangements. </w:t>
      </w:r>
      <w:r>
        <w:rPr>
          <w:rFonts w:ascii="Times New Roman;serif" w:hAnsi="Times New Roman;serif"/>
          <w:b w:val="false"/>
          <w:color w:val="000000"/>
          <w:sz w:val="20"/>
        </w:rPr>
        <w:t>We have entered into standby letters of credit and surety bonds with financial institutions to meet various bid, performance, warranty, retention, guarantee, and advance payment obligations for us or our affiliates. We enter into these agreements to assist certain affiliates in obtaining financing on more favorable terms, making bids on contracts and performing their contractual and other obligations. The stated values of these letters of credit agreements and surety bonds totaled $4.2 billion as of December 31, 2025.</w:t>
      </w:r>
    </w:p>
    <w:p>
      <w:pPr>
        <w:pStyle w:val="TextBody"/>
        <w:bidi w:val="0"/>
        <w:spacing w:lineRule="auto" w:line="288" w:before="120" w:after="283"/>
        <w:jc w:val="both"/>
        <w:rPr/>
      </w:pPr>
      <w:r>
        <w:rPr>
          <w:rFonts w:ascii="Times New Roman;serif" w:hAnsi="Times New Roman;serif"/>
          <w:b/>
          <w:color w:val="000000"/>
          <w:sz w:val="20"/>
        </w:rPr>
        <w:t xml:space="preserve">Offset / Industrial Participation Obligations. </w:t>
      </w:r>
      <w:r>
        <w:rPr>
          <w:rFonts w:ascii="Times New Roman;serif" w:hAnsi="Times New Roman;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December 31, 2025, the aggregate amount of these agreements, both agreed to and anticipated to be agreed to, had an outstanding notional value of approximately $13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bidi w:val="0"/>
        <w:spacing w:lineRule="auto" w:line="288" w:before="120" w:after="283"/>
        <w:jc w:val="both"/>
        <w:rPr/>
      </w:pPr>
      <w:r>
        <w:rPr>
          <w:rFonts w:ascii="Times New Roman;serif" w:hAnsi="Times New Roman;serif"/>
          <w:b/>
          <w:color w:val="000000"/>
          <w:sz w:val="20"/>
        </w:rPr>
        <w:t>Government Oversight.</w:t>
      </w:r>
      <w:r>
        <w:rPr>
          <w:color w:val="000000"/>
        </w:rPr>
        <w:t xml:space="preserve"> </w:t>
      </w:r>
      <w:r>
        <w:rPr>
          <w:rFonts w:ascii="Times New Roman;serif" w:hAnsi="Times New Roman;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00"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Audit Agency (DCAA), the Defense Contract Management Agency (DCMA), the Inspectors General of the U.S. Department of War (DoW) (formerly referred to as the U.S. Department of Defense),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these DPAs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the DPAs and the SEC Administrative Order, and that monitor is expected to be in place by the end of the first quarter.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10-K, we do not expect these audits, investigations or disputes to have a material effect on our results of operations, financial condition, or liquidity, either individually or in the aggregate.</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In 2023, Pratt &amp; Whitney determined that a rare condition in powder metal used to manufacture certain engine parts requires accelerated inspection of the PW1100 GTF fleet, which powers the A320neo. This determination was made pursuant to Pratt &amp; Whitney’s safety management system.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2023, Pratt &amp; Whitney issued a special instruction (SI) to operators of PW1100 GTF powered A320neo aircraft, which required accelerated inspections and engine removals covering an initial subset of operational engines, no later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1"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charge recorded in the third quarter of 2023 resulted in a net increase in Other accrued liabilities of $2.8 billion, which principally related to our 51% share of an accrual for expected customer compensation. At December 31, 2025 and 2024, we had other accrued liabilities of $0.7 billion and $1.7 billion, respectively, related to expected compensation to customers. The decrease in the accrual in 2025 and 2024 was primarily due to customer compensation in the form of credits issued and cash paid to customers during the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erif" w:hAnsi="Times New Roman;serif"/>
          <w:b/>
          <w:color w:val="000000"/>
          <w:sz w:val="20"/>
        </w:rPr>
        <w:t xml:space="preserve">Legal Proceedings. </w:t>
      </w:r>
      <w:r>
        <w:rPr>
          <w:rFonts w:ascii="Times New Roman;serif" w:hAnsi="Times New Roman;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Accounting Standards Claims</w:t>
      </w:r>
    </w:p>
    <w:p>
      <w:pPr>
        <w:pStyle w:val="TextBody"/>
        <w:bidi w:val="0"/>
        <w:spacing w:lineRule="auto" w:line="288" w:before="120" w:after="283"/>
        <w:jc w:val="both"/>
        <w:rPr/>
      </w:pPr>
      <w:r>
        <w:rPr>
          <w:rFonts w:ascii="Times New Roman;serif" w:hAnsi="Times New Roman;serif"/>
          <w:b w:val="false"/>
          <w:color w:val="000000"/>
          <w:sz w:val="20"/>
        </w:rPr>
        <w:t xml:space="preserve">As previously disclosed, in April 2019, a Divisional Administrative Contracting Officer (DACO) of the United States DCMA asserted a claim against Pratt &amp; Whitney to recover alleged overpayments of approximately $1.7 billion plus interest ($1.5 billion at December 31, 2025).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w:t>
      </w:r>
      <w:r>
        <w:rPr>
          <w:rFonts w:ascii="Times New Roman;serif" w:hAnsi="Times New Roman;serif"/>
          <w:b w:val="false"/>
          <w:color w:val="000000"/>
          <w:sz w:val="20"/>
          <w:shd w:fill="FFFFFF" w:val="clear"/>
        </w:rPr>
        <w:t xml:space="preserve">On September 30, 2024, a DCMA DACO issued a second claim against Pratt &amp; Whitney that similarly alleges that Pratt &amp; Whitney was noncompliant with CAS due to its method of allocating independent research and development costs to government contracts from April 1, 2019 to December 31, 2023. The second claim demands payment of $1.1 billion plus interest ($410 million at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r>
        <w:rPr>
          <w:rFonts w:ascii="Times New Roman;serif" w:hAnsi="Times New Roman;serif"/>
          <w:b w:val="false"/>
          <w:color w:val="000000"/>
          <w:sz w:val="20"/>
        </w:rPr>
        <w:t>. Pratt &amp; Whitney believes the second claim is without merit and filed an appeal to the ASBCA on October 15,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December 2013, a DCMA DACO asserted a claim against Pratt &amp; Whitney to recover alleged overpayments of approximately $177 million plus interest ($209 million at December 31, 2025).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government filed an appeal to the United States Court of Appeals for the Federal Circuit (CAFC). On December 5, 2025, the CAFC issued an opinion which dismissed in part the government’s appeal for lack of jurisdiction, reversed in part the ASBCA’s November 22, 2021 decision with respect to the enforceability of a provision within a 2006 agreement between DCMA and Pratt &amp; Whitney, and remanded the case to the ASBCA for further proceedings. We continue to believe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ASBCA’s rejection of the DCMA’s asserted measure of the cost of collaborator parts is well supported in fact and law.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($187 million at December 31, 2025).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($105 million at December 31, 2025).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Thales-Raytheon Systems and Related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October 15, 2024, Raytheon Company entered into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TRS, since 2012 in connection with certain Middle East contracts. Pursuant to DPA-1, among other terms, the DOJ will defer, for a period of three years, criminal prosecution of Raytheon Company related to one count of conspiracy to violate the anti-bribery provisions of the FCPA and one count of conspiracy to violate the AECA by failing to make related disclosures of certain payments that qualified as fees, commissions and/or political contributions under Part 130 of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Under DPA-1, the SEC Administrative Order, and DPA-2 discussed in “DOJ Investigation and Contract Pricing Disputes” below,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DPA-1, the SEC Administrative Order, and DPA-2 discussed in “DOJ Investigation and Contract Pricing Disputes” below, and that monitor is expected to be in place by the end of the first quarter. During the fourth quarter of 2024, the Company paid $384 million in the aggregate for DPA-1 and the SEC Administrative Order which was consistent with amounts accrued. 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DOJ Investigation and Contract Pricing Disputes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October 16, 2024, Raytheon Company entered into DPA-2 and a FCA settlement agreement with the DOJ to resolve previously disclosed criminal and civil government investigations into defective pricing claims for certain legacy Raytheon Company contracts entered into between 2011 and 2013 and in 2017. Pursuant to DPA-2, among other terms,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Under DPA-2 as well as DPA-1 and the SEC Administrative Order discussed in “Thales-Raytheon Systems and Related Matters” above,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DPA-2 as well as DPA-1 and the SEC Administrative Order discussed in “Thales-Raytheon Systems and Related Matters” above, and that monitor is expected to be in place by the end of the first quarter.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3"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Trade Compliance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identify, investigate, remediate, and voluntarily disclose violations or potential violations of the ITAR and EAR to the relevant regulators. In May 2024, the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paid in August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$218 million in the aggregate as of December 31, 2025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Powder Metal Disclosure Litigation and SEC Investigation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on September 12, 2025, the Court granted the defendants’ motion to dismiss the consolidated case. On October 14, 2025, plaintiffs filed a Notice of Appeal to the United States Court of Appeals for the Second Circuit. Second, multiple shareholder derivative lawsuits have been filed against current and former officers and directors of the Company in the United States District Court for the District of Delaware. The complaints in these actions allege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subpoenas from the SEC seeking engineering, operational, organizational, accounting, and financial documents and witness testimony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continuing to cooperate with the SEC’s ongoing investigation. At this time, we are unable to predict the timing or outcome of this SEC investigation.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Where appropriate, we have recorded loss contingency accruals for the above-referenced matters. Unless noted above, loss contingency accruals are immaterial individually or in the aggregate. </w:t>
      </w:r>
    </w:p>
    <w:p>
      <w:pPr>
        <w:pStyle w:val="TextBody"/>
        <w:bidi w:val="0"/>
        <w:spacing w:lineRule="auto" w:line="288" w:before="120" w:after="283"/>
        <w:jc w:val="both"/>
        <w:rPr/>
      </w:pPr>
      <w:r>
        <w:rPr>
          <w:rFonts w:ascii="Times New Roman;serif" w:hAnsi="Times New Roman;serif"/>
          <w:b/>
          <w:color w:val="000000"/>
          <w:sz w:val="20"/>
        </w:rPr>
        <w:t>Other.</w:t>
      </w:r>
      <w:r>
        <w:rPr>
          <w:color w:val="000000"/>
        </w:rPr>
        <w:t xml:space="preserve"> </w:t>
      </w:r>
      <w:r>
        <w:rPr>
          <w:rFonts w:ascii="Times New Roman;serif" w:hAnsi="Times New Roman;serif"/>
          <w:b w:val="false"/>
          <w:color w:val="000000"/>
          <w:sz w:val="20"/>
        </w:rPr>
        <w:t>As described in “Note 16: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4"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EQUITY</w:t>
      </w:r>
    </w:p>
    <w:p>
      <w:pPr>
        <w:pStyle w:val="TextBody"/>
        <w:bidi w:val="0"/>
        <w:spacing w:lineRule="auto" w:line="288" w:before="120" w:after="283"/>
        <w:jc w:val="both"/>
        <w:rPr/>
      </w:pPr>
      <w:r>
        <w:rPr>
          <w:rFonts w:ascii="Times New Roman;serif" w:hAnsi="Times New Roman;serif"/>
          <w:b/>
          <w:color w:val="000000"/>
          <w:sz w:val="20"/>
        </w:rPr>
        <w:t xml:space="preserve">Accelerated Share Repurchases. </w:t>
      </w:r>
      <w:r>
        <w:rPr>
          <w:rFonts w:ascii="Times New Roman;serif" w:hAnsi="Times New Roman;serif"/>
          <w:b w:val="false"/>
          <w:color w:val="000000"/>
          <w:sz w:val="20"/>
        </w:rPr>
        <w:t>On October 24, 2023, we entered into accelerated share repurchase (ASR) agreements with certain financial institution counterparties to repurchase shares of our common stock for an aggregate purchase price of $10 billion. The ASR agreements provided for the repurchase of our common stock based on the average of the daily volume-weighted average prices of our common stock during the term of such ASR agreements, less a discount and subject to adjustments pursuant to the terms and conditions of the ASR agreements.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 The aggregate purchase price was recorded as a reduction to Shareowners’ equity, consisting of an $8.5 billion increase in Treasury stock and a $1.5 billion decrease in Common stock. We funded the payments with borrowings under a bridge credit agreement, which was repaid with the proceeds from term loan facilities, proceeds from issuances of long-term debt in the fourth quarter of 2023, and cash on hand. See “Note 9: Borrowings and Lines of Credit”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shares associated with the remaining portion of the aggregate purchase price have been settled over two tranches. In July 2024, the first tranche was settled upon final delivery to us of 0.4 million shares of common stock. In September 2024, with respect to the second tranche, we owed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pStyle w:val="TextBody"/>
        <w:bidi w:val="0"/>
        <w:spacing w:lineRule="auto" w:line="288" w:before="120" w:after="283"/>
        <w:jc w:val="both"/>
        <w:rPr/>
      </w:pPr>
      <w:r>
        <w:rPr>
          <w:rFonts w:ascii="Times New Roman;serif" w:hAnsi="Times New Roman;serif"/>
          <w:b/>
          <w:color w:val="000000"/>
          <w:sz w:val="20"/>
        </w:rPr>
        <w:t xml:space="preserve">Accumulated Other Comprehensive Loss.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summary of the changes in each component of Accumulated other comprehensive loss, net of tax is provided below:</w:t>
      </w:r>
    </w:p>
    <w:tbl>
      <w:tblPr>
        <w:tblW w:w="10205" w:type="dxa"/>
        <w:jc w:val="left"/>
        <w:tblInd w:w="0" w:type="dxa"/>
        <w:tblLayout w:type="fixed"/>
        <w:tblCellMar>
          <w:top w:w="28" w:type="dxa"/>
          <w:left w:w="28" w:type="dxa"/>
          <w:bottom w:w="28" w:type="dxa"/>
          <w:right w:w="28" w:type="dxa"/>
        </w:tblCellMar>
      </w:tblPr>
      <w:tblGrid>
        <w:gridCol w:w="1169"/>
        <w:gridCol w:w="884"/>
        <w:gridCol w:w="720"/>
        <w:gridCol w:w="109"/>
        <w:gridCol w:w="109"/>
        <w:gridCol w:w="109"/>
        <w:gridCol w:w="285"/>
        <w:gridCol w:w="896"/>
        <w:gridCol w:w="147"/>
        <w:gridCol w:w="109"/>
        <w:gridCol w:w="109"/>
        <w:gridCol w:w="109"/>
        <w:gridCol w:w="356"/>
        <w:gridCol w:w="1164"/>
        <w:gridCol w:w="184"/>
        <w:gridCol w:w="109"/>
        <w:gridCol w:w="109"/>
        <w:gridCol w:w="109"/>
        <w:gridCol w:w="109"/>
        <w:gridCol w:w="109"/>
        <w:gridCol w:w="325"/>
        <w:gridCol w:w="795"/>
        <w:gridCol w:w="168"/>
        <w:gridCol w:w="109"/>
        <w:gridCol w:w="109"/>
        <w:gridCol w:w="109"/>
        <w:gridCol w:w="331"/>
        <w:gridCol w:w="1006"/>
        <w:gridCol w:w="249"/>
      </w:tblGrid>
      <w:tr>
        <w:trPr/>
        <w:tc>
          <w:tcPr>
            <w:tcW w:w="116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4"/>
              </w:rPr>
              <w:t xml:space="preserve">Foreign Currency Translation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Unrealized Hedging (Losses)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Accumulated Other Comprehensive Loss</w:t>
            </w:r>
          </w:p>
        </w:tc>
      </w:tr>
      <w:tr>
        <w:trPr/>
        <w:tc>
          <w:tcPr>
            <w:tcW w:w="2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1,454</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(910)</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w:t>
            </w:r>
            <w:r>
              <w:rPr>
                <w:color w:val="000000"/>
              </w:rPr>
              <w:t> </w:t>
            </w:r>
          </w:p>
        </w:tc>
        <w:tc>
          <w:tcPr>
            <w:tcW w:w="1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(3,304)</w:t>
            </w:r>
          </w:p>
        </w:tc>
        <w:tc>
          <w:tcPr>
            <w:tcW w:w="1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6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(2,718)</w:t>
            </w:r>
          </w:p>
        </w:tc>
        <w:tc>
          <w:tcPr>
            <w:tcW w:w="2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amount of foreign currency translation recognized in Other Comprehensive Income (loss) (OCI) includes gains (losses) relating to net investment hedges, as further discussed in “Note 13: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reclassified that relate to our defined benefit pension and postretirement plans include the amortization of prior service costs and actuarial net gains or losses recognized during each period presented. During the fourth quarter of 2025, an actuarial loss of $0.3 billion ($0.2 billion after tax) was recognized in connection with a settlement resulting from the annuity buy-out conversion. These costs are recorded as components of net periodic benefit (income) expense for each period presented. See “Note 10: Employee Benefit Plans”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5"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19: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RTX’s long-term incentive plans authorize various types of market and performance-based incentive awards that may be granted to officers and key employees. The RTX Corporation Long-Term Incentive Plan (LTIP), was last amended on October 29, 2025. A total of 231 million shares have been authorized for issuance pursuant to awards under the LTIP including shares assumed from predecessor plans and adjustments associated with the separation of Carrier and Otis. As of December 31, 2025, approximately 101 million shares remain available for awards under the LTIP. The LTIP does not contain aggregate annual award limits, however, it sets an annual award limit per participant. The LTIP will expire after all authorized shares have been awarded or on May 2, 2034, whichever is sooner.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LTIP, the exercise price of awards is set on the grant date and may not be less than the fair market value per share on that date. Generally, stock appreciation rights (SARs) and stock options have a term of ten years and a three-year vesting period, subject to limited exceptions. In the event of retirement, annual stock appreciation rights, stock options, and restricted stock units (RSUs) held for more than one year may become vested and exercisable, subject to certain terms and conditions. LTIP awards with performance-based vesting generally have a minimum three-year vesting period and vest based on actual performance against pre-established metrics. In the event of retirement, performance-based awards held for more than one year, remain eligible to vest based on actual performance relative to performance goals.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the cost of share-based payments for restricted share units, stock options, stock appreciation rights, and awards with market-based conditions at fair value on the grant date. For awards that include performance conditions, compensation expense is recorded based on the estimated number of awards that are expected to vest at the end of the performance period. The cost of all share-based payments are recognized in the Consolidated Statement of Operations, net of expected forfeitures, as follows:</w:t>
      </w:r>
    </w:p>
    <w:tbl>
      <w:tblPr>
        <w:tblW w:w="6132" w:type="dxa"/>
        <w:jc w:val="left"/>
        <w:tblInd w:w="0" w:type="dxa"/>
        <w:tblLayout w:type="fixed"/>
        <w:tblCellMar>
          <w:top w:w="28" w:type="dxa"/>
          <w:left w:w="28" w:type="dxa"/>
          <w:bottom w:w="28" w:type="dxa"/>
          <w:right w:w="28" w:type="dxa"/>
        </w:tblCellMar>
      </w:tblPr>
      <w:tblGrid>
        <w:gridCol w:w="1110"/>
        <w:gridCol w:w="973"/>
        <w:gridCol w:w="977"/>
        <w:gridCol w:w="211"/>
        <w:gridCol w:w="481"/>
        <w:gridCol w:w="109"/>
        <w:gridCol w:w="109"/>
        <w:gridCol w:w="109"/>
        <w:gridCol w:w="109"/>
        <w:gridCol w:w="211"/>
        <w:gridCol w:w="466"/>
        <w:gridCol w:w="109"/>
        <w:gridCol w:w="109"/>
        <w:gridCol w:w="109"/>
        <w:gridCol w:w="109"/>
        <w:gridCol w:w="211"/>
        <w:gridCol w:w="46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cash received and the related tax benefit realized on exercised stock options for 2025, 2024 and 2023 were not material. Additionally, the future income tax benefit recognized and the tax benefits realized on vesting of performance share units (PSU’s), restricted stock awards and RSUs were not material for the respective periods.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$340 million of total unrecognized compensation cost related to non-vested equity awards granted under long-term incentive plans. This cost is expected to be recognized ratably over a weighted-average period of 2.3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transactions under our long-term incentive plans for the year ended December 31, 2025 follows. </w:t>
      </w:r>
    </w:p>
    <w:tbl>
      <w:tblPr>
        <w:tblW w:w="10802" w:type="dxa"/>
        <w:jc w:val="left"/>
        <w:tblInd w:w="0" w:type="dxa"/>
        <w:tblLayout w:type="fixed"/>
        <w:tblCellMar>
          <w:top w:w="28" w:type="dxa"/>
          <w:left w:w="28" w:type="dxa"/>
          <w:bottom w:w="28" w:type="dxa"/>
          <w:right w:w="28" w:type="dxa"/>
        </w:tblCellMar>
      </w:tblPr>
      <w:tblGrid>
        <w:gridCol w:w="599"/>
        <w:gridCol w:w="263"/>
        <w:gridCol w:w="264"/>
        <w:gridCol w:w="308"/>
        <w:gridCol w:w="308"/>
        <w:gridCol w:w="196"/>
        <w:gridCol w:w="109"/>
        <w:gridCol w:w="109"/>
        <w:gridCol w:w="109"/>
        <w:gridCol w:w="211"/>
        <w:gridCol w:w="631"/>
        <w:gridCol w:w="109"/>
        <w:gridCol w:w="109"/>
        <w:gridCol w:w="109"/>
        <w:gridCol w:w="109"/>
        <w:gridCol w:w="367"/>
        <w:gridCol w:w="369"/>
        <w:gridCol w:w="196"/>
        <w:gridCol w:w="109"/>
        <w:gridCol w:w="109"/>
        <w:gridCol w:w="109"/>
        <w:gridCol w:w="211"/>
        <w:gridCol w:w="631"/>
        <w:gridCol w:w="109"/>
        <w:gridCol w:w="109"/>
        <w:gridCol w:w="109"/>
        <w:gridCol w:w="109"/>
        <w:gridCol w:w="315"/>
        <w:gridCol w:w="316"/>
        <w:gridCol w:w="161"/>
        <w:gridCol w:w="109"/>
        <w:gridCol w:w="109"/>
        <w:gridCol w:w="109"/>
        <w:gridCol w:w="211"/>
        <w:gridCol w:w="736"/>
        <w:gridCol w:w="109"/>
        <w:gridCol w:w="109"/>
        <w:gridCol w:w="109"/>
        <w:gridCol w:w="109"/>
        <w:gridCol w:w="315"/>
        <w:gridCol w:w="316"/>
        <w:gridCol w:w="161"/>
        <w:gridCol w:w="109"/>
        <w:gridCol w:w="109"/>
        <w:gridCol w:w="109"/>
        <w:gridCol w:w="211"/>
        <w:gridCol w:w="736"/>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Appreciation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and RSUs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(shares and units in thousands)</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Average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Average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Average Price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Average Price </w:t>
            </w:r>
            <w:r>
              <w:rPr>
                <w:rFonts w:ascii="Times New Roman;serif" w:hAnsi="Times New Roman;serif"/>
                <w:b/>
                <w:color w:val="000000"/>
                <w:sz w:val="10"/>
              </w:rPr>
              <w:t>(2)</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Granted </w:t>
            </w:r>
            <w:r>
              <w:rPr>
                <w:rFonts w:ascii="Times New Roman;serif" w:hAnsi="Times New Roman;serif"/>
                <w:b/>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132.59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Exercised / earned </w:t>
            </w:r>
            <w:r>
              <w:rPr>
                <w:rFonts w:ascii="Times New Roman;serif" w:hAnsi="Times New Roman;serif"/>
                <w:b/>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Cancelled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6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w:t>
            </w:r>
            <w:r>
              <w:rPr>
                <w:color w:val="000000"/>
              </w:rPr>
              <w:t>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19,267</w:t>
            </w:r>
            <w:r>
              <w:rPr>
                <w:color w:val="000000"/>
              </w:rPr>
              <w:t>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2,513</w:t>
            </w:r>
            <w:r>
              <w:rPr>
                <w:color w:val="000000"/>
              </w:rPr>
              <w:t> </w:t>
            </w:r>
          </w:p>
        </w:tc>
        <w:tc>
          <w:tcPr>
            <w:tcW w:w="1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8,354</w:t>
            </w:r>
            <w:r>
              <w:rPr>
                <w:color w:val="000000"/>
              </w:rPr>
              <w:t> </w:t>
            </w:r>
          </w:p>
        </w:tc>
        <w:tc>
          <w:tcPr>
            <w:tcW w:w="1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Weighted-average exercise price per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Weighted-average grant date fair value per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Performance Share Units includes an adjustment for actual performance achieved on the 2022 award of 86 thousand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stock options and stock appreciation rights granted during 2025, 2024, and 2023 was $36.37, $21.72, and $24.66, respectively. The weighted-average grant date fair value of PSU’s, which vest upon achieving certain performance metrics, granted during 2025, 2024, and 2023 was $136.10, $93.48, and $96.39, respectively. The total fair value of awards vested during 2025, 2024, and 2023 was $437 million, $447 million, and $273 million, respectively. The total intrinsic value (which is the amount by which the stock price exceeded the exercise price on the date of exercise) of stock options and stock appreciation rights exercised during 2025, 2024, and 2023 was $553 million, $245 million, and $46 million, respectively. The total intrinsic value (which is the stock price at vesting multiplied by the number of underlying shares) of PSU’s and other restricted awards vested was $520 million, $506 million, and $263 million during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6"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equity awards outstanding that are vested and expected to vest as well as equity awards outstanding that are exercisable at December 31, 2025:</w:t>
      </w:r>
    </w:p>
    <w:tbl>
      <w:tblPr>
        <w:tblW w:w="11117" w:type="dxa"/>
        <w:jc w:val="left"/>
        <w:tblInd w:w="0" w:type="dxa"/>
        <w:tblLayout w:type="fixed"/>
        <w:tblCellMar>
          <w:top w:w="28" w:type="dxa"/>
          <w:left w:w="28" w:type="dxa"/>
          <w:bottom w:w="28" w:type="dxa"/>
          <w:right w:w="28" w:type="dxa"/>
        </w:tblCellMar>
      </w:tblPr>
      <w:tblGrid>
        <w:gridCol w:w="621"/>
        <w:gridCol w:w="282"/>
        <w:gridCol w:w="283"/>
        <w:gridCol w:w="109"/>
        <w:gridCol w:w="109"/>
        <w:gridCol w:w="109"/>
        <w:gridCol w:w="360"/>
        <w:gridCol w:w="361"/>
        <w:gridCol w:w="221"/>
        <w:gridCol w:w="109"/>
        <w:gridCol w:w="109"/>
        <w:gridCol w:w="109"/>
        <w:gridCol w:w="211"/>
        <w:gridCol w:w="616"/>
        <w:gridCol w:w="109"/>
        <w:gridCol w:w="109"/>
        <w:gridCol w:w="109"/>
        <w:gridCol w:w="109"/>
        <w:gridCol w:w="269"/>
        <w:gridCol w:w="461"/>
        <w:gridCol w:w="141"/>
        <w:gridCol w:w="109"/>
        <w:gridCol w:w="109"/>
        <w:gridCol w:w="109"/>
        <w:gridCol w:w="295"/>
        <w:gridCol w:w="295"/>
        <w:gridCol w:w="296"/>
        <w:gridCol w:w="109"/>
        <w:gridCol w:w="109"/>
        <w:gridCol w:w="109"/>
        <w:gridCol w:w="360"/>
        <w:gridCol w:w="361"/>
        <w:gridCol w:w="221"/>
        <w:gridCol w:w="109"/>
        <w:gridCol w:w="109"/>
        <w:gridCol w:w="109"/>
        <w:gridCol w:w="211"/>
        <w:gridCol w:w="616"/>
        <w:gridCol w:w="109"/>
        <w:gridCol w:w="109"/>
        <w:gridCol w:w="109"/>
        <w:gridCol w:w="109"/>
        <w:gridCol w:w="269"/>
        <w:gridCol w:w="461"/>
        <w:gridCol w:w="141"/>
        <w:gridCol w:w="109"/>
        <w:gridCol w:w="109"/>
        <w:gridCol w:w="109"/>
        <w:gridCol w:w="272"/>
        <w:gridCol w:w="272"/>
        <w:gridCol w:w="38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Awards Vested and Expected to Vest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Awards That Are Exercisable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(shares in thousands; aggregate intrinsic value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Aggregate 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Remaining Term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Aggregate 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Remaining Term </w:t>
            </w:r>
            <w:r>
              <w:rPr>
                <w:rFonts w:ascii="Times New Roman;serif" w:hAnsi="Times New Roman;serif"/>
                <w:b/>
                <w:color w:val="000000"/>
                <w:sz w:val="10"/>
              </w:rPr>
              <w:t>(3)</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Appreciation Rights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Share Units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Stock and RSUs </w:t>
            </w:r>
            <w:r>
              <w:rPr>
                <w:rFonts w:ascii="Times New Roman;serif" w:hAnsi="Times New Roman;serif"/>
                <w:b w:val="false"/>
                <w:color w:val="000000"/>
                <w:sz w:val="13"/>
              </w:rPr>
              <w:t>(2)</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8,060 </w:t>
            </w:r>
          </w:p>
        </w:tc>
        <w:tc>
          <w:tcPr>
            <w:tcW w:w="2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4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Average price is weighted-average exercise price per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price is weighted-average grant date fair value per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Weighted-average contractual remaining term in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award is estimated on the date of grant using a binomial lattice model. The following table indicates the assumptions used in estimating fair value for awards granted during 2025, 2024, and 2023. Lattice-based option models incorporate ranges of assumptions for inputs; those ranges are as follows:</w:t>
      </w:r>
    </w:p>
    <w:tbl>
      <w:tblPr>
        <w:tblW w:w="6783" w:type="dxa"/>
        <w:jc w:val="left"/>
        <w:tblInd w:w="0" w:type="dxa"/>
        <w:tblLayout w:type="fixed"/>
        <w:tblCellMar>
          <w:top w:w="28" w:type="dxa"/>
          <w:left w:w="28" w:type="dxa"/>
          <w:bottom w:w="28" w:type="dxa"/>
          <w:right w:w="28" w:type="dxa"/>
        </w:tblCellMar>
      </w:tblPr>
      <w:tblGrid>
        <w:gridCol w:w="875"/>
        <w:gridCol w:w="768"/>
        <w:gridCol w:w="771"/>
        <w:gridCol w:w="109"/>
        <w:gridCol w:w="109"/>
        <w:gridCol w:w="109"/>
        <w:gridCol w:w="301"/>
        <w:gridCol w:w="303"/>
        <w:gridCol w:w="550"/>
        <w:gridCol w:w="109"/>
        <w:gridCol w:w="109"/>
        <w:gridCol w:w="109"/>
        <w:gridCol w:w="293"/>
        <w:gridCol w:w="296"/>
        <w:gridCol w:w="506"/>
        <w:gridCol w:w="109"/>
        <w:gridCol w:w="109"/>
        <w:gridCol w:w="109"/>
        <w:gridCol w:w="285"/>
        <w:gridCol w:w="288"/>
        <w:gridCol w:w="56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25.9%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26.2%</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4.1% - 4.4%</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 - 5.4%</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 - 4.8%</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volatilities are based on the returns of our stock, including implied volatilities from traded options on our stock for the binomial lattice model. We use historical data to estimate equity award exercise and employee termination behavior within the valuation model. The expected term represents an estimate of the period of time equity awards are expected to remain outstanding. The risk-free rate is based on the term structure of interest rates at the time of equity award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20: SEGMENT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Aerospace (Collins), Pratt &amp; Whitney, and Raytheon. Our segments are generally based on the management structure of the businesses and the grouping of similar operating companies, where each management organization has general operating autonomy over diversified products and services. </w:t>
      </w:r>
    </w:p>
    <w:p>
      <w:pPr>
        <w:pStyle w:val="TextBody"/>
        <w:bidi w:val="0"/>
        <w:spacing w:lineRule="auto" w:line="288" w:before="120" w:after="283"/>
        <w:jc w:val="both"/>
        <w:rPr/>
      </w:pPr>
      <w:r>
        <w:rPr>
          <w:rFonts w:ascii="Times New Roman;serif" w:hAnsi="Times New Roman;serif"/>
          <w:b/>
          <w:color w:val="000000"/>
          <w:sz w:val="20"/>
        </w:rPr>
        <w:t xml:space="preserve">Collins Aerospace </w:t>
      </w:r>
      <w:r>
        <w:rPr>
          <w:rFonts w:ascii="Times New Roman;serif" w:hAnsi="Times New Roman;serif"/>
          <w:b w:val="false"/>
          <w:color w:val="000000"/>
          <w:sz w:val="20"/>
        </w:rPr>
        <w:t xml:space="preserve">is a leading global provider of technologically advanced aerospace and defense products. Collins’ solutions include aftermarket services 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 customer missions by providing systems solutions for connected battlespace, test and training range systems, crew escape systems, and simulation and training. </w:t>
      </w:r>
    </w:p>
    <w:p>
      <w:pPr>
        <w:pStyle w:val="TextBody"/>
        <w:bidi w:val="0"/>
        <w:spacing w:lineRule="auto" w:line="288" w:before="120" w:after="283"/>
        <w:jc w:val="both"/>
        <w:rPr/>
      </w:pPr>
      <w:r>
        <w:rPr>
          <w:rFonts w:ascii="Times New Roman;serif" w:hAnsi="Times New Roman;serif"/>
          <w:b/>
          <w:color w:val="000000"/>
          <w:sz w:val="20"/>
        </w:rPr>
        <w:t>Pratt &amp; Whitney</w:t>
      </w:r>
      <w:r>
        <w:rPr>
          <w:color w:val="000000"/>
        </w:rPr>
        <w:t xml:space="preserve"> </w:t>
      </w:r>
      <w:r>
        <w:rPr>
          <w:rFonts w:ascii="Times New Roman;serif" w:hAnsi="Times New Roman;serif"/>
          <w:b w:val="false"/>
          <w:color w:val="000000"/>
          <w:sz w:val="20"/>
        </w:rPr>
        <w:t xml:space="preserve">is among the world’s leading suppliers of aircraft engines for commercial, military, business jet, and general aviation customers. Pratt &amp; Whitney designs, manufactures, and services large engines for widebody, narrowbody, and large regional aircraft for commercial customers and for fighter, bomber, tanker, and transport aircraft for military customers. Pratt &amp; Whitney also designs, manufactures, and services small engines powering regional airlines, general and business aviation,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helicopters. Pratt &amp; Whitney produces, sells, and services military and commercial auxiliary power units. Pratt &amp; Whitney provides fleet management services and aftermarket maintenance, repair, and overhaul services in all of these product segments.</w:t>
      </w:r>
    </w:p>
    <w:p>
      <w:pPr>
        <w:pStyle w:val="TextBody"/>
        <w:bidi w:val="0"/>
        <w:spacing w:lineRule="auto" w:line="288" w:before="120" w:after="283"/>
        <w:jc w:val="both"/>
        <w:rPr/>
      </w:pPr>
      <w:r>
        <w:rPr>
          <w:rFonts w:ascii="Times New Roman;serif" w:hAnsi="Times New Roman;serif"/>
          <w:b/>
          <w:color w:val="000000"/>
          <w:sz w:val="20"/>
        </w:rPr>
        <w:t xml:space="preserve">Raytheon </w:t>
      </w:r>
      <w:r>
        <w:rPr>
          <w:rFonts w:ascii="Times New Roman;serif" w:hAnsi="Times New Roman;serif"/>
          <w:b w:val="false"/>
          <w:color w:val="000000"/>
          <w:sz w:val="20"/>
        </w:rPr>
        <w:t>is a leading provider of defensive and offensive threat detection, tracking and mitigation capabilities for U.S. and foreign government and 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 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pStyle w:val="TextBody"/>
        <w:bidi w:val="0"/>
        <w:spacing w:lineRule="auto" w:line="288" w:before="120" w:after="283"/>
        <w:jc w:val="both"/>
        <w:rPr/>
      </w:pPr>
      <w:r>
        <w:rPr>
          <w:rFonts w:ascii="Times New Roman;serif" w:hAnsi="Times New Roman;serif"/>
          <w:b/>
          <w:color w:val="000000"/>
          <w:sz w:val="20"/>
        </w:rPr>
        <w:t>Segment Information.</w:t>
      </w:r>
      <w:r>
        <w:rPr>
          <w:color w:val="000000"/>
        </w:rPr>
        <w:t xml:space="preserve"> </w:t>
      </w:r>
      <w:r>
        <w:rPr>
          <w:rFonts w:ascii="Times New Roman;serif" w:hAnsi="Times New Roman;serif"/>
          <w:b w:val="false"/>
          <w:color w:val="000000"/>
          <w:sz w:val="20"/>
        </w:rPr>
        <w:t xml:space="preserve">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net sales and operating profit (loss) by segment include inter-segment sales which are generally recorded at cost-plus a specified fee or at a negotiated fixed price. These pricing arrangements may result in margins different than what the purchasing segment realizes on the ultimate third-party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loss-making or below-market contracts acquired, and goodwill impairment, if applicable. These adjustments are not considered part of management’s evaluation of segment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information for the years ended December 31 are as follows:</w:t>
      </w:r>
    </w:p>
    <w:tbl>
      <w:tblPr>
        <w:tblW w:w="10205" w:type="dxa"/>
        <w:jc w:val="left"/>
        <w:tblInd w:w="0" w:type="dxa"/>
        <w:tblLayout w:type="fixed"/>
        <w:tblCellMar>
          <w:top w:w="28" w:type="dxa"/>
          <w:left w:w="28" w:type="dxa"/>
          <w:bottom w:w="28" w:type="dxa"/>
          <w:right w:w="28" w:type="dxa"/>
        </w:tblCellMar>
      </w:tblPr>
      <w:tblGrid>
        <w:gridCol w:w="836"/>
        <w:gridCol w:w="733"/>
        <w:gridCol w:w="621"/>
        <w:gridCol w:w="109"/>
        <w:gridCol w:w="109"/>
        <w:gridCol w:w="109"/>
        <w:gridCol w:w="211"/>
        <w:gridCol w:w="736"/>
        <w:gridCol w:w="109"/>
        <w:gridCol w:w="109"/>
        <w:gridCol w:w="109"/>
        <w:gridCol w:w="109"/>
        <w:gridCol w:w="299"/>
        <w:gridCol w:w="894"/>
        <w:gridCol w:w="155"/>
        <w:gridCol w:w="109"/>
        <w:gridCol w:w="109"/>
        <w:gridCol w:w="109"/>
        <w:gridCol w:w="248"/>
        <w:gridCol w:w="896"/>
        <w:gridCol w:w="128"/>
        <w:gridCol w:w="109"/>
        <w:gridCol w:w="109"/>
        <w:gridCol w:w="109"/>
        <w:gridCol w:w="266"/>
        <w:gridCol w:w="798"/>
        <w:gridCol w:w="137"/>
        <w:gridCol w:w="109"/>
        <w:gridCol w:w="109"/>
        <w:gridCol w:w="109"/>
        <w:gridCol w:w="390"/>
        <w:gridCol w:w="264"/>
        <w:gridCol w:w="849"/>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 Margins</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(23,972)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(24,333)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(77,591)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10,746</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9,300</w:t>
            </w:r>
            <w:r>
              <w:rPr>
                <w:color w:val="000000"/>
              </w:rPr>
              <w:t>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(expense),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the operating results of certain smaller operations. </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8"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86"/>
        <w:gridCol w:w="779"/>
        <w:gridCol w:w="675"/>
        <w:gridCol w:w="109"/>
        <w:gridCol w:w="109"/>
        <w:gridCol w:w="109"/>
        <w:gridCol w:w="211"/>
        <w:gridCol w:w="721"/>
        <w:gridCol w:w="109"/>
        <w:gridCol w:w="109"/>
        <w:gridCol w:w="109"/>
        <w:gridCol w:w="109"/>
        <w:gridCol w:w="306"/>
        <w:gridCol w:w="916"/>
        <w:gridCol w:w="159"/>
        <w:gridCol w:w="109"/>
        <w:gridCol w:w="109"/>
        <w:gridCol w:w="109"/>
        <w:gridCol w:w="252"/>
        <w:gridCol w:w="914"/>
        <w:gridCol w:w="130"/>
        <w:gridCol w:w="109"/>
        <w:gridCol w:w="109"/>
        <w:gridCol w:w="109"/>
        <w:gridCol w:w="275"/>
        <w:gridCol w:w="804"/>
        <w:gridCol w:w="142"/>
        <w:gridCol w:w="179"/>
        <w:gridCol w:w="179"/>
        <w:gridCol w:w="179"/>
        <w:gridCol w:w="317"/>
        <w:gridCol w:w="233"/>
        <w:gridCol w:w="531"/>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w:t>
            </w:r>
          </w:p>
        </w:tc>
        <w:tc>
          <w:tcPr>
            <w:tcW w:w="16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 Margins</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expenses and other unallocated items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(expense),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a $0.9 billion charge in the second quarter of 2024 related to the Resolution of Certain Legal Matters. See “Note 1: Basis of Presentation and Summary of Accounting Principles” for additional information.</w:t>
      </w:r>
    </w:p>
    <w:tbl>
      <w:tblPr>
        <w:tblW w:w="10205" w:type="dxa"/>
        <w:jc w:val="left"/>
        <w:tblInd w:w="0" w:type="dxa"/>
        <w:tblLayout w:type="fixed"/>
        <w:tblCellMar>
          <w:top w:w="28" w:type="dxa"/>
          <w:left w:w="28" w:type="dxa"/>
          <w:bottom w:w="28" w:type="dxa"/>
          <w:right w:w="28" w:type="dxa"/>
        </w:tblCellMar>
      </w:tblPr>
      <w:tblGrid>
        <w:gridCol w:w="870"/>
        <w:gridCol w:w="765"/>
        <w:gridCol w:w="663"/>
        <w:gridCol w:w="109"/>
        <w:gridCol w:w="109"/>
        <w:gridCol w:w="109"/>
        <w:gridCol w:w="211"/>
        <w:gridCol w:w="721"/>
        <w:gridCol w:w="109"/>
        <w:gridCol w:w="109"/>
        <w:gridCol w:w="109"/>
        <w:gridCol w:w="109"/>
        <w:gridCol w:w="308"/>
        <w:gridCol w:w="923"/>
        <w:gridCol w:w="160"/>
        <w:gridCol w:w="109"/>
        <w:gridCol w:w="109"/>
        <w:gridCol w:w="109"/>
        <w:gridCol w:w="254"/>
        <w:gridCol w:w="919"/>
        <w:gridCol w:w="131"/>
        <w:gridCol w:w="109"/>
        <w:gridCol w:w="109"/>
        <w:gridCol w:w="109"/>
        <w:gridCol w:w="277"/>
        <w:gridCol w:w="810"/>
        <w:gridCol w:w="143"/>
        <w:gridCol w:w="182"/>
        <w:gridCol w:w="182"/>
        <w:gridCol w:w="182"/>
        <w:gridCol w:w="317"/>
        <w:gridCol w:w="235"/>
        <w:gridCol w:w="535"/>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w:t>
            </w:r>
          </w:p>
        </w:tc>
        <w:tc>
          <w:tcPr>
            <w:tcW w:w="16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(Loss) Margins</w:t>
            </w:r>
          </w:p>
        </w:tc>
      </w:tr>
      <w:tr>
        <w:trPr/>
        <w:tc>
          <w:tcPr>
            <w:tcW w:w="2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(expense),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the operating results of certain smaller operations.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the impact of the Powder Metal Matter</w:t>
      </w:r>
    </w:p>
    <w:tbl>
      <w:tblPr>
        <w:tblW w:w="11728" w:type="dxa"/>
        <w:jc w:val="left"/>
        <w:tblInd w:w="0" w:type="dxa"/>
        <w:tblLayout w:type="fixed"/>
        <w:tblCellMar>
          <w:top w:w="28" w:type="dxa"/>
          <w:left w:w="28" w:type="dxa"/>
          <w:bottom w:w="28" w:type="dxa"/>
          <w:right w:w="28" w:type="dxa"/>
        </w:tblCellMar>
      </w:tblPr>
      <w:tblGrid>
        <w:gridCol w:w="658"/>
        <w:gridCol w:w="567"/>
        <w:gridCol w:w="216"/>
        <w:gridCol w:w="211"/>
        <w:gridCol w:w="841"/>
        <w:gridCol w:w="109"/>
        <w:gridCol w:w="109"/>
        <w:gridCol w:w="109"/>
        <w:gridCol w:w="109"/>
        <w:gridCol w:w="211"/>
        <w:gridCol w:w="82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Collins Aerospace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171,079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Total assets include acquired intangible assets and the property, plant, and equipment fair value adjustment. Related amortization expense is included in Acquisition accounting adjustments.</w:t>
      </w:r>
    </w:p>
    <w:p>
      <w:pPr>
        <w:pStyle w:val="TextBody"/>
        <w:bidi w:val="0"/>
        <w:spacing w:lineRule="auto" w:line="288" w:before="120" w:after="283"/>
        <w:jc w:val="both"/>
        <w:rPr/>
      </w:pPr>
      <w:r>
        <w:rPr>
          <w:rFonts w:ascii="Times New Roman;serif" w:hAnsi="Times New Roman;serif"/>
          <w:b/>
          <w:color w:val="000000"/>
          <w:sz w:val="20"/>
        </w:rPr>
        <w:t>Geographic External Sales by Origin and Long-Lived Assets.</w:t>
      </w:r>
      <w:r>
        <w:rPr>
          <w:color w:val="000000"/>
        </w:rPr>
        <w:t xml:space="preserve"> </w:t>
      </w:r>
      <w:r>
        <w:rPr>
          <w:rFonts w:ascii="Times New Roman;serif" w:hAnsi="Times New Roman;serif"/>
          <w:b w:val="false"/>
          <w:color w:val="000000"/>
          <w:sz w:val="20"/>
        </w:rPr>
        <w:t>Geographic external sales are attributed to the geographic regions based on their location of origin. U.S. external sales include export sales to commercial customers outside the U.S., as well as sales to the U.S. government, commercial and affiliated customers, which are known to be for resale to customers outside the U.S. Long-lived assets are Fixed assets, net attributed to the specific geographic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9"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9419" w:type="dxa"/>
        <w:jc w:val="left"/>
        <w:tblInd w:w="0" w:type="dxa"/>
        <w:tblLayout w:type="fixed"/>
        <w:tblCellMar>
          <w:top w:w="28" w:type="dxa"/>
          <w:left w:w="28" w:type="dxa"/>
          <w:bottom w:w="28" w:type="dxa"/>
          <w:right w:w="28" w:type="dxa"/>
        </w:tblCellMar>
      </w:tblPr>
      <w:tblGrid>
        <w:gridCol w:w="908"/>
        <w:gridCol w:w="796"/>
        <w:gridCol w:w="800"/>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External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Long-Lived Assets</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United States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North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2023 external net sales includes the reduction in sales from the Powder Metal Matter.</w:t>
      </w:r>
    </w:p>
    <w:p>
      <w:pPr>
        <w:pStyle w:val="TextBody"/>
        <w:bidi w:val="0"/>
        <w:spacing w:lineRule="auto" w:line="288" w:before="120" w:after="283"/>
        <w:jc w:val="both"/>
        <w:rPr/>
      </w:pPr>
      <w:r>
        <w:rPr>
          <w:rFonts w:ascii="Times New Roman;serif" w:hAnsi="Times New Roman;serif"/>
          <w:b/>
          <w:color w:val="000000"/>
          <w:sz w:val="20"/>
        </w:rPr>
        <w:t>Disaggregation of Revenue.</w:t>
      </w:r>
      <w:r>
        <w:rPr>
          <w:color w:val="000000"/>
        </w:rPr>
        <w:t xml:space="preserve"> </w:t>
      </w:r>
      <w:r>
        <w:rPr>
          <w:rFonts w:ascii="Times New Roman;serif" w:hAnsi="Times New Roman;serif"/>
          <w:b w:val="false"/>
          <w:color w:val="000000"/>
          <w:sz w:val="20"/>
        </w:rPr>
        <w:t>We also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based on customer location for the years ended December 31 are as follows:</w:t>
      </w:r>
    </w:p>
    <w:tbl>
      <w:tblPr>
        <w:tblW w:w="8400" w:type="dxa"/>
        <w:jc w:val="left"/>
        <w:tblInd w:w="0" w:type="dxa"/>
        <w:tblLayout w:type="fixed"/>
        <w:tblCellMar>
          <w:top w:w="28" w:type="dxa"/>
          <w:left w:w="28" w:type="dxa"/>
          <w:bottom w:w="28" w:type="dxa"/>
          <w:right w:w="28" w:type="dxa"/>
        </w:tblCellMar>
      </w:tblPr>
      <w:tblGrid>
        <w:gridCol w:w="908"/>
        <w:gridCol w:w="796"/>
        <w:gridCol w:w="800"/>
        <w:gridCol w:w="278"/>
        <w:gridCol w:w="972"/>
        <w:gridCol w:w="144"/>
        <w:gridCol w:w="266"/>
        <w:gridCol w:w="931"/>
        <w:gridCol w:w="137"/>
        <w:gridCol w:w="211"/>
        <w:gridCol w:w="736"/>
        <w:gridCol w:w="109"/>
        <w:gridCol w:w="211"/>
        <w:gridCol w:w="691"/>
        <w:gridCol w:w="109"/>
        <w:gridCol w:w="211"/>
        <w:gridCol w:w="73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14,136</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3,779</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North Africa</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27,585</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70" w:type="dxa"/>
        <w:jc w:val="left"/>
        <w:tblInd w:w="0" w:type="dxa"/>
        <w:tblLayout w:type="fixed"/>
        <w:tblCellMar>
          <w:top w:w="28" w:type="dxa"/>
          <w:left w:w="28" w:type="dxa"/>
          <w:bottom w:w="28" w:type="dxa"/>
          <w:right w:w="28" w:type="dxa"/>
        </w:tblCellMar>
      </w:tblPr>
      <w:tblGrid>
        <w:gridCol w:w="908"/>
        <w:gridCol w:w="796"/>
        <w:gridCol w:w="800"/>
        <w:gridCol w:w="282"/>
        <w:gridCol w:w="966"/>
        <w:gridCol w:w="146"/>
        <w:gridCol w:w="270"/>
        <w:gridCol w:w="925"/>
        <w:gridCol w:w="139"/>
        <w:gridCol w:w="211"/>
        <w:gridCol w:w="721"/>
        <w:gridCol w:w="109"/>
        <w:gridCol w:w="211"/>
        <w:gridCol w:w="691"/>
        <w:gridCol w:w="109"/>
        <w:gridCol w:w="211"/>
        <w:gridCol w:w="72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North Africa</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10"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8370" w:type="dxa"/>
        <w:jc w:val="left"/>
        <w:tblInd w:w="0" w:type="dxa"/>
        <w:tblLayout w:type="fixed"/>
        <w:tblCellMar>
          <w:top w:w="28" w:type="dxa"/>
          <w:left w:w="28" w:type="dxa"/>
          <w:bottom w:w="28" w:type="dxa"/>
          <w:right w:w="28" w:type="dxa"/>
        </w:tblCellMar>
      </w:tblPr>
      <w:tblGrid>
        <w:gridCol w:w="908"/>
        <w:gridCol w:w="796"/>
        <w:gridCol w:w="800"/>
        <w:gridCol w:w="282"/>
        <w:gridCol w:w="966"/>
        <w:gridCol w:w="146"/>
        <w:gridCol w:w="270"/>
        <w:gridCol w:w="925"/>
        <w:gridCol w:w="139"/>
        <w:gridCol w:w="211"/>
        <w:gridCol w:w="721"/>
        <w:gridCol w:w="109"/>
        <w:gridCol w:w="211"/>
        <w:gridCol w:w="691"/>
        <w:gridCol w:w="109"/>
        <w:gridCol w:w="211"/>
        <w:gridCol w:w="72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North Africa</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Powder Metal Matter</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years ended December 31 are as follows:</w:t>
      </w:r>
    </w:p>
    <w:tbl>
      <w:tblPr>
        <w:tblW w:w="10156" w:type="dxa"/>
        <w:jc w:val="left"/>
        <w:tblInd w:w="0" w:type="dxa"/>
        <w:tblLayout w:type="fixed"/>
        <w:tblCellMar>
          <w:top w:w="28" w:type="dxa"/>
          <w:left w:w="28" w:type="dxa"/>
          <w:bottom w:w="28" w:type="dxa"/>
          <w:right w:w="28" w:type="dxa"/>
        </w:tblCellMar>
      </w:tblPr>
      <w:tblGrid>
        <w:gridCol w:w="1545"/>
        <w:gridCol w:w="1355"/>
        <w:gridCol w:w="1360"/>
        <w:gridCol w:w="278"/>
        <w:gridCol w:w="972"/>
        <w:gridCol w:w="144"/>
        <w:gridCol w:w="266"/>
        <w:gridCol w:w="931"/>
        <w:gridCol w:w="137"/>
        <w:gridCol w:w="211"/>
        <w:gridCol w:w="736"/>
        <w:gridCol w:w="109"/>
        <w:gridCol w:w="211"/>
        <w:gridCol w:w="691"/>
        <w:gridCol w:w="109"/>
        <w:gridCol w:w="211"/>
        <w:gridCol w:w="736"/>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to the U.S. government</w:t>
            </w:r>
            <w:r>
              <w:rPr>
                <w:color w:val="000000"/>
              </w:rPr>
              <w:t xml:space="preserve"> </w:t>
            </w:r>
            <w:r>
              <w:rPr>
                <w:rFonts w:ascii="Times New Roman;serif" w:hAnsi="Times New Roman;serif"/>
                <w:b w:val="false"/>
                <w:color w:val="000000"/>
                <w:sz w:val="13"/>
              </w:rPr>
              <w:t>(1)</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7,061</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6,778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23,560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27,585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2,611</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Excludes foreign military sales through the U.S. government. </w:t>
      </w:r>
    </w:p>
    <w:tbl>
      <w:tblPr>
        <w:tblW w:w="10171" w:type="dxa"/>
        <w:jc w:val="left"/>
        <w:tblInd w:w="0" w:type="dxa"/>
        <w:tblLayout w:type="fixed"/>
        <w:tblCellMar>
          <w:top w:w="28" w:type="dxa"/>
          <w:left w:w="28" w:type="dxa"/>
          <w:bottom w:w="28" w:type="dxa"/>
          <w:right w:w="28" w:type="dxa"/>
        </w:tblCellMar>
      </w:tblPr>
      <w:tblGrid>
        <w:gridCol w:w="1545"/>
        <w:gridCol w:w="1355"/>
        <w:gridCol w:w="1360"/>
        <w:gridCol w:w="282"/>
        <w:gridCol w:w="966"/>
        <w:gridCol w:w="146"/>
        <w:gridCol w:w="279"/>
        <w:gridCol w:w="956"/>
        <w:gridCol w:w="144"/>
        <w:gridCol w:w="211"/>
        <w:gridCol w:w="721"/>
        <w:gridCol w:w="109"/>
        <w:gridCol w:w="211"/>
        <w:gridCol w:w="691"/>
        <w:gridCol w:w="109"/>
        <w:gridCol w:w="211"/>
        <w:gridCol w:w="721"/>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Pratt &amp; Whitney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to the U.S. government</w:t>
            </w:r>
            <w:r>
              <w:rPr>
                <w:color w:val="000000"/>
              </w:rPr>
              <w:t xml:space="preserve"> </w:t>
            </w:r>
            <w:r>
              <w:rPr>
                <w:rFonts w:ascii="Times New Roman;serif" w:hAnsi="Times New Roman;serif"/>
                <w:b w:val="false"/>
                <w:color w:val="000000"/>
                <w:sz w:val="13"/>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Excludes foreign military sales through the U.S. government. </w:t>
      </w:r>
    </w:p>
    <w:tbl>
      <w:tblPr>
        <w:tblW w:w="10205" w:type="dxa"/>
        <w:jc w:val="left"/>
        <w:tblInd w:w="0" w:type="dxa"/>
        <w:tblLayout w:type="fixed"/>
        <w:tblCellMar>
          <w:top w:w="28" w:type="dxa"/>
          <w:left w:w="28" w:type="dxa"/>
          <w:bottom w:w="28" w:type="dxa"/>
          <w:right w:w="28" w:type="dxa"/>
        </w:tblCellMar>
      </w:tblPr>
      <w:tblGrid>
        <w:gridCol w:w="1580"/>
        <w:gridCol w:w="1382"/>
        <w:gridCol w:w="1385"/>
        <w:gridCol w:w="280"/>
        <w:gridCol w:w="962"/>
        <w:gridCol w:w="145"/>
        <w:gridCol w:w="269"/>
        <w:gridCol w:w="922"/>
        <w:gridCol w:w="138"/>
        <w:gridCol w:w="211"/>
        <w:gridCol w:w="721"/>
        <w:gridCol w:w="109"/>
        <w:gridCol w:w="211"/>
        <w:gridCol w:w="690"/>
        <w:gridCol w:w="109"/>
        <w:gridCol w:w="211"/>
        <w:gridCol w:w="721"/>
        <w:gridCol w:w="159"/>
      </w:tblGrid>
      <w:tr>
        <w:trPr/>
        <w:tc>
          <w:tcPr>
            <w:tcW w:w="158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to the U.S. government</w:t>
            </w:r>
            <w:r>
              <w:rPr>
                <w:color w:val="000000"/>
              </w:rPr>
              <w:t xml:space="preserve"> </w:t>
            </w:r>
            <w:r>
              <w:rPr>
                <w:rFonts w:ascii="Times New Roman;serif" w:hAnsi="Times New Roman;serif"/>
                <w:b w:val="false"/>
                <w:color w:val="000000"/>
                <w:sz w:val="13"/>
              </w:rPr>
              <w:t>(1)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aerospace and other commercial sales </w:t>
            </w:r>
            <w:r>
              <w:rPr>
                <w:rFonts w:ascii="Times New Roman;serif" w:hAnsi="Times New Roman;serif"/>
                <w:b w:val="false"/>
                <w:color w:val="000000"/>
                <w:sz w:val="13"/>
              </w:rPr>
              <w:t>(2)</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Excludes foreign military sales through the U.S. government. </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Includes the reduction in sales from the Powder Metal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1"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largest contributor to our Commercial aerospace and other commercial sales is Airbus. Sales to Airbus primarily relate to Pratt &amp; Whitney and Collins products, and prior to discounts and incentives were approximately 14%, 14%, and 17% of total net sales in 2025, 2024, and 2023, respectively. Total net sales in 2023 includes the reduction in sales from the Powder Metal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years ended December 31 are as follows:</w:t>
      </w:r>
    </w:p>
    <w:tbl>
      <w:tblPr>
        <w:tblW w:w="7890" w:type="dxa"/>
        <w:jc w:val="left"/>
        <w:tblInd w:w="0" w:type="dxa"/>
        <w:tblLayout w:type="fixed"/>
        <w:tblCellMar>
          <w:top w:w="28" w:type="dxa"/>
          <w:left w:w="28" w:type="dxa"/>
          <w:bottom w:w="28" w:type="dxa"/>
          <w:right w:w="28" w:type="dxa"/>
        </w:tblCellMar>
      </w:tblPr>
      <w:tblGrid>
        <w:gridCol w:w="723"/>
        <w:gridCol w:w="634"/>
        <w:gridCol w:w="637"/>
        <w:gridCol w:w="278"/>
        <w:gridCol w:w="972"/>
        <w:gridCol w:w="144"/>
        <w:gridCol w:w="266"/>
        <w:gridCol w:w="931"/>
        <w:gridCol w:w="137"/>
        <w:gridCol w:w="211"/>
        <w:gridCol w:w="736"/>
        <w:gridCol w:w="109"/>
        <w:gridCol w:w="211"/>
        <w:gridCol w:w="691"/>
        <w:gridCol w:w="109"/>
        <w:gridCol w:w="211"/>
        <w:gridCol w:w="73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21,467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14,449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27,585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2,611</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30,196</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32,916</w:t>
            </w:r>
            <w:r>
              <w:rPr>
                <w:color w:val="000000"/>
              </w:rPr>
              <w:t>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88,603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60" w:type="dxa"/>
        <w:jc w:val="left"/>
        <w:tblInd w:w="0" w:type="dxa"/>
        <w:tblLayout w:type="fixed"/>
        <w:tblCellMar>
          <w:top w:w="28" w:type="dxa"/>
          <w:left w:w="28" w:type="dxa"/>
          <w:bottom w:w="28" w:type="dxa"/>
          <w:right w:w="28" w:type="dxa"/>
        </w:tblCellMar>
      </w:tblPr>
      <w:tblGrid>
        <w:gridCol w:w="723"/>
        <w:gridCol w:w="634"/>
        <w:gridCol w:w="637"/>
        <w:gridCol w:w="282"/>
        <w:gridCol w:w="966"/>
        <w:gridCol w:w="146"/>
        <w:gridCol w:w="270"/>
        <w:gridCol w:w="925"/>
        <w:gridCol w:w="139"/>
        <w:gridCol w:w="211"/>
        <w:gridCol w:w="721"/>
        <w:gridCol w:w="109"/>
        <w:gridCol w:w="211"/>
        <w:gridCol w:w="691"/>
        <w:gridCol w:w="109"/>
        <w:gridCol w:w="211"/>
        <w:gridCol w:w="72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Pratt &amp; Whitney</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26" w:type="dxa"/>
        <w:jc w:val="center"/>
        <w:tblInd w:w="0" w:type="dxa"/>
        <w:tblLayout w:type="fixed"/>
        <w:tblCellMar>
          <w:top w:w="28" w:type="dxa"/>
          <w:left w:w="28" w:type="dxa"/>
          <w:bottom w:w="28" w:type="dxa"/>
          <w:right w:w="28" w:type="dxa"/>
        </w:tblCellMar>
      </w:tblPr>
      <w:tblGrid>
        <w:gridCol w:w="723"/>
        <w:gridCol w:w="634"/>
        <w:gridCol w:w="637"/>
        <w:gridCol w:w="282"/>
        <w:gridCol w:w="966"/>
        <w:gridCol w:w="146"/>
        <w:gridCol w:w="304"/>
        <w:gridCol w:w="1039"/>
        <w:gridCol w:w="157"/>
        <w:gridCol w:w="211"/>
        <w:gridCol w:w="721"/>
        <w:gridCol w:w="109"/>
        <w:gridCol w:w="211"/>
        <w:gridCol w:w="691"/>
        <w:gridCol w:w="109"/>
        <w:gridCol w:w="211"/>
        <w:gridCol w:w="72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Collins Aerospace</w:t>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Pratt &amp; Whitney </w:t>
            </w:r>
            <w:r>
              <w:rPr>
                <w:rFonts w:ascii="Times New Roman;serif" w:hAnsi="Times New Roman;serif"/>
                <w:b/>
                <w:color w:val="000000"/>
                <w:sz w:val="10"/>
              </w:rPr>
              <w:t>(1)</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Raytheon</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Includes the reduction in sales from the Powder Metal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years ended December 31 are as follows:</w:t>
      </w:r>
    </w:p>
    <w:tbl>
      <w:tblPr>
        <w:tblW w:w="5831" w:type="dxa"/>
        <w:jc w:val="left"/>
        <w:tblInd w:w="0" w:type="dxa"/>
        <w:tblLayout w:type="fixed"/>
        <w:tblCellMar>
          <w:top w:w="28" w:type="dxa"/>
          <w:left w:w="28" w:type="dxa"/>
          <w:bottom w:w="28" w:type="dxa"/>
          <w:right w:w="28" w:type="dxa"/>
        </w:tblCellMar>
      </w:tblPr>
      <w:tblGrid>
        <w:gridCol w:w="723"/>
        <w:gridCol w:w="634"/>
        <w:gridCol w:w="637"/>
        <w:gridCol w:w="211"/>
        <w:gridCol w:w="736"/>
        <w:gridCol w:w="109"/>
        <w:gridCol w:w="109"/>
        <w:gridCol w:w="109"/>
        <w:gridCol w:w="109"/>
        <w:gridCol w:w="211"/>
        <w:gridCol w:w="721"/>
        <w:gridCol w:w="109"/>
        <w:gridCol w:w="109"/>
        <w:gridCol w:w="109"/>
        <w:gridCol w:w="109"/>
        <w:gridCol w:w="211"/>
        <w:gridCol w:w="72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28,043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2"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Senior Vice President and Controller (Controller),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U.S. Because of its inherent limitations, internal control over financial reporting may not prevent or detect misstatements. Our management has assessed the effectiveness of our internal control over financial reporting as of December 31, 2025. In making its assessment, management has utilized the criteria set forth by the Committee of Sponsoring Organizations of the Treadway Commission in its 2013 Internal Control – Integrated Framework. Our management has concluded that based on its assessment, our internal control over financial reporting was effective as of December 31, 2025. The effectiveness of our internal control over financial reporting as of December 31, 2025 has been audited by PricewaterhouseCoopers LLP, an independent registered public accounting firm, as stated in its report which is set forth within Item 8 of this Annual Report on Form 10-K. There were no changes in our internal control over financial reporting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 director or “officer” (as defined in Rule 16a-1(f))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10 with respect to directors, the Audit Committee of the Board of Directors, audit committee financial experts, and the procedures by which our shareowners may recommend nominees to our Board of Directors is incorporated herein by reference to the sections of our Proxy Statement for the 2026 Annual Meeting of Shareowners titled “Election of Directors” (including under the subheadings “Nominees” and “How Candidates Are Identified”) and “Corporate Governance” (including under the subheading “Board Committees”).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persons are executive officers of RTX Corporation:</w:t>
      </w:r>
    </w:p>
    <w:tbl>
      <w:tblPr>
        <w:tblW w:w="10205" w:type="dxa"/>
        <w:jc w:val="left"/>
        <w:tblInd w:w="0" w:type="dxa"/>
        <w:tblLayout w:type="fixed"/>
        <w:tblCellMar>
          <w:top w:w="28" w:type="dxa"/>
          <w:left w:w="28" w:type="dxa"/>
          <w:bottom w:w="28" w:type="dxa"/>
          <w:right w:w="28" w:type="dxa"/>
        </w:tblCellMar>
      </w:tblPr>
      <w:tblGrid>
        <w:gridCol w:w="469"/>
        <w:gridCol w:w="411"/>
        <w:gridCol w:w="420"/>
        <w:gridCol w:w="109"/>
        <w:gridCol w:w="109"/>
        <w:gridCol w:w="109"/>
        <w:gridCol w:w="1159"/>
        <w:gridCol w:w="1045"/>
        <w:gridCol w:w="1058"/>
        <w:gridCol w:w="109"/>
        <w:gridCol w:w="109"/>
        <w:gridCol w:w="109"/>
        <w:gridCol w:w="1436"/>
        <w:gridCol w:w="1196"/>
        <w:gridCol w:w="1199"/>
        <w:gridCol w:w="109"/>
        <w:gridCol w:w="109"/>
        <w:gridCol w:w="109"/>
        <w:gridCol w:w="242"/>
        <w:gridCol w:w="242"/>
        <w:gridCol w:w="347"/>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Business Experience Since 1/1/2021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Age as of</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2/6/2026</w:t>
            </w:r>
          </w:p>
        </w:tc>
      </w:tr>
      <w:tr>
        <w:trPr/>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Brunk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Collins Aerospace (since July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Mission Systems, Collins Aerospace; President, Avionics, Collins Aerospace; President, Interiors, Collins 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(since April 2025), Chief Executive Officer (since May 2024), and President, RTX Corporation (since March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Director, RTX Corporation; President, Pratt &amp; Whitney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G. DaSilva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Treasurer, RTX Corporation (since April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G. Eddy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Pratt &amp; Whitney (since March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Operations Officer, Pratt &amp; Whitney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J. Jasper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Raytheon (since January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President, Mission Systems, Collins 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 RTX Corporation (since September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Finance, Pratt &amp; Whitney Commercial Engines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Ramsaran Maharajh,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 RTX Corporation (since December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Legal, Raytheon Technologies Corporation; Chief of Staff, Office of the Chief Executive Officer, Raytheon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RTX Corporation (since April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Vice President, Financial Planning &amp; Analysis &amp; Investor Relations, Raytheon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Dantaya M. Williams</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Human Resources Officer, RTX Corporation (since June 2020)</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the officers serve at the pleasure of the Board of Directors of RTX Corporation or the subsidiary designated.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an insider trading policy, processes, and procedures governing transactions in the Company’s securities that apply to all Company personnel, including directors, officers, employees, and other covered persons. We believe our insider trading policy, processes, and procedures are reasonably designed to promote compliance with insider trading laws, rules, regulations, and the listing standards of the New York Stock Exchange. Among other things, our Securities Trading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4"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Release of Material Nonpublic Information Policy prohibits our employees and related persons and entities from trading in RTX securities and other companies while in possession of material, nonpublic information, and prohibits our employees from disclosing material, nonpublic information to others who may trade on the basis of that information. Our directors, executive officers, and certain employees must also comply with additional trading restrictions, including, without limitation, trading in RTX securities only during an open trading window period and after obtaining advance approval. A copy of our Securities Trading and Release of Material Nonpublic Information Policy is filed as Exhibit 19 to this Form 10-K.</w:t>
      </w:r>
    </w:p>
    <w:p>
      <w:pPr>
        <w:pStyle w:val="TextBody"/>
        <w:bidi w:val="0"/>
        <w:spacing w:lineRule="auto" w:line="288" w:before="120" w:after="283"/>
        <w:jc w:val="both"/>
        <w:rPr/>
      </w:pPr>
      <w:r>
        <w:rPr>
          <w:rFonts w:ascii="Times New Roman;serif" w:hAnsi="Times New Roman;serif"/>
          <w:b w:val="false"/>
          <w:color w:val="000000"/>
          <w:sz w:val="20"/>
        </w:rPr>
        <w:t xml:space="preserve">Information concerning Section 16(a) compliance is incorporated herein by reference to the section of our Proxy Statement for the 2026 Annual Meeting of Shareowners titled “Other Important Information” under the heading “Delinquent Section 16(a) Reports.” We have adopted a code of conduct that applies to all our directors, officers, employees, and representatives. Information regarding our Code of Conduct is incorporated herein by reference to the section of our Proxy Statement for the 2026 Annual Meeting of Shareowners titled “Other Important Information” under the heading “Corporate Governance Information, our Code of Conduct and How to Contact the Board.” This code is publicly available on our website at http://www.rtx.com/Our-Company/ethics-and-compliance. Amendments to the code of conduct and any grant of a waiver from a provision of the code requiring disclosure under applicable </w:t>
      </w:r>
      <w:r>
        <w:rPr>
          <w:rFonts w:ascii="Times New Roman;serif" w:hAnsi="Times New Roman;serif"/>
          <w:b w:val="false"/>
          <w:color w:val="212529"/>
          <w:sz w:val="20"/>
        </w:rPr>
        <w:t>Securities and Exchange Commission (SEC)</w:t>
      </w:r>
      <w:r>
        <w:rPr>
          <w:color w:val="000000"/>
        </w:rPr>
        <w:t xml:space="preserve"> </w:t>
      </w:r>
      <w:r>
        <w:rPr>
          <w:rFonts w:ascii="Times New Roman;serif" w:hAnsi="Times New Roman;serif"/>
          <w:b w:val="false"/>
          <w:color w:val="000000"/>
          <w:sz w:val="20"/>
        </w:rPr>
        <w:t>rules will be disclosed on our website. Our Corporate Governance Guidelines and the charters of our Board of Directors’ Audit Committee, Finance Committee, Governance and Public Policy Committee, Human Capital and Compensation Committee, and Special Activities Committee are available on our website at https://www.rtx.com/who-we-are/corporate-governance. These materials may also be requested in print free of charge by writing to our Investor Relations Department at RTX Corporation, 1000 Wilson Blvd., Arlington, VA 22209.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11 is incorporated herein by reference to the sections of our Proxy Statement for the 2026 Annual Meeting of Shareowners titled “Compensation Discussion &amp; Analysis,” “Compensation of Directors,” “Equity Award Granting Policy,” and “Report of the Human Capital &amp;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relating to security ownership of certain beneficial owners and management and the Equity Compensation Plan Information required by Item 12 is incorporated herein by reference to the section of our Proxy Statement for the 2026 Annual Meeting of Shareowners titled “Share Ownership”.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equity compensation plans that authorize the issuance of shares of our common stock as of December 31, 2025.</w:t>
      </w:r>
    </w:p>
    <w:tbl>
      <w:tblPr>
        <w:tblW w:w="10205" w:type="dxa"/>
        <w:jc w:val="left"/>
        <w:tblInd w:w="0" w:type="dxa"/>
        <w:tblLayout w:type="fixed"/>
        <w:tblCellMar>
          <w:top w:w="28" w:type="dxa"/>
          <w:left w:w="28" w:type="dxa"/>
          <w:bottom w:w="28" w:type="dxa"/>
          <w:right w:w="28" w:type="dxa"/>
        </w:tblCellMar>
      </w:tblPr>
      <w:tblGrid>
        <w:gridCol w:w="745"/>
        <w:gridCol w:w="654"/>
        <w:gridCol w:w="657"/>
        <w:gridCol w:w="836"/>
        <w:gridCol w:w="744"/>
        <w:gridCol w:w="746"/>
        <w:gridCol w:w="109"/>
        <w:gridCol w:w="109"/>
        <w:gridCol w:w="109"/>
        <w:gridCol w:w="440"/>
        <w:gridCol w:w="1285"/>
        <w:gridCol w:w="227"/>
        <w:gridCol w:w="109"/>
        <w:gridCol w:w="109"/>
        <w:gridCol w:w="109"/>
        <w:gridCol w:w="980"/>
        <w:gridCol w:w="922"/>
        <w:gridCol w:w="131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Number of securities to be issued upon exercise of outstanding options, warrants, and rights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Weighted average exercise price of outstanding options, warrants, and rights</w:t>
              <w:br/>
              <w:t>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Number of securities remaining available for future issuance under equity compensation plans (excluding securities reflected in column (a)) (c)</w:t>
            </w:r>
          </w:p>
        </w:tc>
      </w:tr>
      <w:tr>
        <w:trPr/>
        <w:tc>
          <w:tcPr>
            <w:tcW w:w="2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shareowners</w:t>
            </w:r>
          </w:p>
        </w:tc>
        <w:tc>
          <w:tcPr>
            <w:tcW w:w="2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22,606,067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101,179,202 </w:t>
            </w:r>
            <w:r>
              <w:rPr>
                <w:rFonts w:ascii="Times New Roman;serif" w:hAnsi="Times New Roman;serif"/>
                <w:b w:val="false"/>
                <w:color w:val="000000"/>
                <w:sz w:val="13"/>
              </w:rPr>
              <w:t>(2)</w:t>
            </w:r>
          </w:p>
        </w:tc>
      </w:tr>
      <w:tr>
        <w:trPr/>
        <w:tc>
          <w:tcPr>
            <w:tcW w:w="205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shareowners</w:t>
            </w:r>
          </w:p>
        </w:tc>
        <w:tc>
          <w:tcPr>
            <w:tcW w:w="158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Consists of shares of RTX Common Stock issuable under the Plan: (i) upon the exercise of outstanding nonqualified stock options; (ii) upon the exercise of outstanding stock appreciation rights (SARs); (iii) pursuant to outstanding restricted stock unit (RSU) awards and performance share unit (PSU) awards, reflecting actual performance for the 2023 PSU award and assuming target-level performance for the 2024 and 2025 PSU awards (up to an additional 1,662,337 shares of RTX Common Stock could be issued if maximum performance is achieved for all metrics); and (iv) upon the settlement of outstanding deferred stock units and RSUs awarded under the RTX Corporation Board of Directors Deferred Stock Unit Plan, as amended and restated effective October 1, 2023. Under the Plan, each SAR referred to in clause (ii) is exercisable for a number of shares of RTX Common Stock having a value equal to the difference between the market price of RTX on the exercise date and the exercise price. For purposes of determining the total number of shares to be issued in respect of outstanding SARs as reflected in column (a) above, the NYSE closing price for a share of RTX Common Stock on the last trading day of 2025 of $183.40 was used. The weighted-average exercise price of outstanding options, warrants and rights shown in column (b) takes into account only the shares identified in clauses (i) and (ii).</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the maximum number of shares of Common Stock available to be awarded under the Plan as of December 31, 2025. RSUs and PSUs (full-value awards) will reduce the number of shares of Common Stock available for delivery under the Plan in an amount equal to 4.03 times the number of shares subject to the awards. SARs and stock options are not full-value awards and will reduce the number of shares of RTX Common Stock available for delivery under the Plan on a one-for-one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13 is incorporated herein by reference to the sections of our Proxy Statement for the 2026 Annual Meeting of Shareowners titled “Corporate Governance” (under the subheading “Director Independence”) and “Other Important Information” (under the subheading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14 is incorporated by reference to the section of our Proxy Statement for the 2026 Annual Meeting of Shareowners titled “Appointment of PricewaterhouseCoopers LLP to Serve as Independent Auditor for 2026,” including the information provided in that section with regard to “Audit Fees,” “Audit-Related Fees,” “Tax Fees,” and “All Other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6"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Financial Statements and Schedules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following financial statements of RTX Corporation, supplemental information, and report of independent registered public accounting firm are included in this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238)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Statement of Operations for the Years Ended December 31, 2025, 2024, and 2023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 of Comprehensive Income for the Years Ended December 31, 2025, 2024, and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Balance Sheet at December 31, 2025 and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 of Cash Flows for the Years Ended December 31, 2025, 2024, and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 of Changes in Equity for the Years Ended December 31, 2025, 2024, and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List of financial statement schedules:</w:t>
      </w:r>
    </w:p>
    <w:p>
      <w:pPr>
        <w:pStyle w:val="TextBody"/>
        <w:bidi w:val="0"/>
        <w:spacing w:before="120" w:after="283"/>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required, not applicable, or the information is otherwise included.</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Exhibits: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list of exhibits includes exhibits submitted with this Form 10-K as filed with the Securities and Exchange Commission (SEC) and those incorporated by reference to other filings.</w:t>
      </w:r>
    </w:p>
    <w:tbl>
      <w:tblPr>
        <w:tblW w:w="10205" w:type="dxa"/>
        <w:jc w:val="left"/>
        <w:tblInd w:w="0" w:type="dxa"/>
        <w:tblLayout w:type="fixed"/>
        <w:tblCellMar>
          <w:top w:w="28" w:type="dxa"/>
          <w:left w:w="28" w:type="dxa"/>
          <w:bottom w:w="28" w:type="dxa"/>
          <w:right w:w="28" w:type="dxa"/>
        </w:tblCellMar>
      </w:tblPr>
      <w:tblGrid>
        <w:gridCol w:w="173"/>
        <w:gridCol w:w="152"/>
        <w:gridCol w:w="156"/>
        <w:gridCol w:w="3195"/>
        <w:gridCol w:w="3074"/>
        <w:gridCol w:w="3082"/>
        <w:gridCol w:w="109"/>
        <w:gridCol w:w="109"/>
        <w:gridCol w:w="155"/>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3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Separation and Distribution Agreement, dated as of April 2, 2020, by and among United Technologies Corporation, Otis Worldwide Corporation and Carrier Global Corporation (incorporated by reference to Exhibit 2.1 of the Company’s Current Report on Form 8-K (Commission file number 1-812) filed with the SEC on April 8,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93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Certificate of Incorporation of Raytheon Technologies Corporation, effective as of May 3, 2023 (incorporated by reference to Exhibit 3.1 of Raytheon Technologies Corporation’s Current Report on Form 8-K (Commission file number 1-812) filed with the SEC on May 4,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of Amended and Restated Certificate of Incorporation of Raytheon Technologies Corporation, effective as of July 17, 2023 (incorporated by reference to Exhibit 3.1 of RTX Corporation’s Current Report on Form 8-K (Commission file number 1-812) filed with the SEC on July 17,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 xml:space="preserve">Amended and Restated Bylaws of RTX Corporation effective as of July 17, 2023 (incorporated by reference to Exhibit 3.2 of RTX Corporation’s Current Report on Form 8-K (Commission file number 1-812) filed with the SEC on July 17, 2023). </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Indenture, dated as of May 1, 2001, between UTC and The Bank of New York, as trustee, incorporated by reference to Exhibit 4(a) to the Company’s Registration Statement on Form S-3 (Commission file number 333-60276) filed with the SEC on May 4, 2001. The Company hereby agrees to furnish to the Commission upon request a copy of each other instrument defining the rights of holders of long-term debt of the Company and its consolidated subsidiaries and any unconsolidated subsidiaries.</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Securities, incorporated by reference to Exhibit 4.2 to the Company’s Annual Report on Form 10-K (Commission file number 1-812) for the fiscal year ended December 31,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United Technologies Corporation Pension Preservation Plan, as amended and restated, effective January 1, 2020, incorporated by reference to Exhibit 10.2 to the Company’s Annual Report on Form 10-K (Commission file number 1-812) for the fiscal year ended December 31,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93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United Technologies Corporation Deferred Compensation Plan, as amended and restated, effective January 1, 2011, incorporated by reference to Exhibit 10.1 of the Company’s Quarterly Report on Form 10-Q (Commission file number 1-812) for the quarterly period ended June 30,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7"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
        <w:gridCol w:w="186"/>
        <w:gridCol w:w="189"/>
        <w:gridCol w:w="3088"/>
        <w:gridCol w:w="3075"/>
        <w:gridCol w:w="3083"/>
        <w:gridCol w:w="109"/>
        <w:gridCol w:w="109"/>
        <w:gridCol w:w="15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United Technologies Corporation Executive Leadership Group Program, as amended and restated, effective October 15, 2013, incorporated by reference to Exhibit 10.11 to the Company’s Quarterly Report on Form 10-Q (Commission file number 1-812) for the quarterly period ended September 30, 2013</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80"/>
                  <w:sz w:val="20"/>
                  <w:u w:val="single"/>
                </w:rPr>
                <w:t>United Technologies</w:t>
              </w:r>
            </w:hyperlink>
            <w:hyperlink r:id="rId13">
              <w:r>
                <w:rPr>
                  <w:rStyle w:val="InternetLink"/>
                  <w:rFonts w:ascii="Times New Roman;serif" w:hAnsi="Times New Roman;serif"/>
                  <w:b w:val="false"/>
                  <w:color w:val="000080"/>
                  <w:sz w:val="20"/>
                  <w:u w:val="single"/>
                </w:rPr>
                <w:t xml:space="preserve"> Executive Leadership Group Program, effective April 1, 2019</w:t>
              </w:r>
            </w:hyperlink>
            <w:hyperlink r:id="rId14">
              <w:r>
                <w:rPr>
                  <w:rStyle w:val="InternetLink"/>
                  <w:rFonts w:ascii="Times New Roman;serif" w:hAnsi="Times New Roman;serif"/>
                  <w:b w:val="false"/>
                  <w:color w:val="000080"/>
                  <w:sz w:val="20"/>
                  <w:u w:val="single"/>
                </w:rPr>
                <w:t>, inc</w:t>
              </w:r>
            </w:hyperlink>
            <w:hyperlink r:id="rId15">
              <w:r>
                <w:rPr>
                  <w:rStyle w:val="InternetLink"/>
                  <w:rFonts w:ascii="Times New Roman;serif" w:hAnsi="Times New Roman;serif"/>
                  <w:b w:val="false"/>
                  <w:color w:val="000080"/>
                  <w:sz w:val="20"/>
                  <w:u w:val="single"/>
                </w:rPr>
                <w:t>orporated by reference to Exhibit 10.5 to the C</w:t>
              </w:r>
            </w:hyperlink>
            <w:hyperlink r:id="rId16">
              <w:r>
                <w:rPr>
                  <w:rStyle w:val="InternetLink"/>
                  <w:rFonts w:ascii="Times New Roman;serif" w:hAnsi="Times New Roman;serif"/>
                  <w:b w:val="false"/>
                  <w:color w:val="000080"/>
                  <w:sz w:val="20"/>
                  <w:u w:val="single"/>
                </w:rPr>
                <w:t>ompany</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s Annual Report on Form 10-K (Commission file number 1-812) for the fiscal year ended December 31,</w:t>
              </w:r>
            </w:hyperlink>
            <w:hyperlink r:id="rId19">
              <w:r>
                <w:rPr>
                  <w:rStyle w:val="InternetLink"/>
                  <w:rFonts w:ascii="Times New Roman;serif" w:hAnsi="Times New Roman;serif"/>
                  <w:b w:val="false"/>
                  <w:color w:val="000080"/>
                  <w:sz w:val="20"/>
                  <w:u w:val="single"/>
                </w:rPr>
                <w:t xml:space="preserve"> 2019</w:t>
              </w:r>
            </w:hyperlink>
            <w:r>
              <w:rPr>
                <w:rFonts w:ascii="Times New Roman;serif" w:hAnsi="Times New Roman;serif"/>
                <w:b w:val="false"/>
                <w:color w:val="000000"/>
                <w:sz w:val="20"/>
              </w:rPr>
              <w:t xml:space="preserve">: and </w:t>
            </w:r>
            <w:hyperlink r:id="rId20">
              <w:r>
                <w:rPr>
                  <w:rStyle w:val="InternetLink"/>
                  <w:rFonts w:ascii="Times New Roman;serif" w:hAnsi="Times New Roman;serif"/>
                  <w:b w:val="false"/>
                  <w:color w:val="000080"/>
                  <w:sz w:val="20"/>
                  <w:u w:val="single"/>
                </w:rPr>
                <w:t>R</w:t>
              </w:r>
            </w:hyperlink>
            <w:hyperlink r:id="rId21">
              <w:r>
                <w:rPr>
                  <w:rStyle w:val="InternetLink"/>
                  <w:rFonts w:ascii="Times New Roman;serif" w:hAnsi="Times New Roman;serif"/>
                  <w:b w:val="false"/>
                  <w:color w:val="000080"/>
                  <w:sz w:val="20"/>
                  <w:u w:val="single"/>
                </w:rPr>
                <w:t>aytheon Technologies Corporation Executive Leadership Group Program, effective April 3, 2020, incorporated by reference to Exhibit 10.5 to the Company's Annual Report on Form 10-K (Commission file number 1-812) for the fiscal year ended December 31,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80"/>
                  <w:sz w:val="20"/>
                  <w:u w:val="single"/>
                </w:rPr>
                <w:t>Schedule of Terms for Restricted Share Unit Retention Awards relating to the United Technologies Corporation Executive Leadership Group Program (referred to above in Exhibit 10.</w:t>
              </w:r>
            </w:hyperlink>
            <w:hyperlink r:id="rId23">
              <w:r>
                <w:rPr>
                  <w:rStyle w:val="InternetLink"/>
                  <w:rFonts w:ascii="Times New Roman;serif" w:hAnsi="Times New Roman;serif"/>
                  <w:b w:val="false"/>
                  <w:color w:val="000080"/>
                  <w:sz w:val="20"/>
                  <w:u w:val="single"/>
                </w:rPr>
                <w:t>3</w:t>
              </w:r>
            </w:hyperlink>
            <w:hyperlink r:id="rId24">
              <w:r>
                <w:rPr>
                  <w:rStyle w:val="InternetLink"/>
                  <w:rFonts w:ascii="Times New Roman;serif" w:hAnsi="Times New Roman;serif"/>
                  <w:b w:val="false"/>
                  <w:color w:val="000080"/>
                  <w:sz w:val="20"/>
                  <w:u w:val="single"/>
                </w:rPr>
                <w:t>), incorporated by reference to Exhibit 10.12 to the Company’s Quarterly Report on Form 10-Q (Commission file number 1-812) for the quarterly period ended September 30, 2013</w:t>
              </w:r>
            </w:hyperlink>
            <w:r>
              <w:rPr>
                <w:rFonts w:ascii="Times New Roman;serif" w:hAnsi="Times New Roman;serif"/>
                <w:b w:val="false"/>
                <w:color w:val="000000"/>
                <w:sz w:val="20"/>
              </w:rPr>
              <w:t xml:space="preserve">; and </w:t>
            </w:r>
            <w:hyperlink r:id="rId25">
              <w:r>
                <w:rPr>
                  <w:rStyle w:val="InternetLink"/>
                  <w:rFonts w:ascii="Times New Roman;serif" w:hAnsi="Times New Roman;serif"/>
                  <w:b w:val="false"/>
                  <w:color w:val="000080"/>
                  <w:sz w:val="20"/>
                  <w:u w:val="single"/>
                </w:rPr>
                <w:t>Schedule of Terms of Restricted Share Unit Retention Awards relating to the United Technologies Leadership Group Program, effective April 1, 2019 (referred to above in Exhibit 10.</w:t>
              </w:r>
            </w:hyperlink>
            <w:hyperlink r:id="rId26">
              <w:r>
                <w:rPr>
                  <w:rStyle w:val="InternetLink"/>
                  <w:rFonts w:ascii="Times New Roman;serif" w:hAnsi="Times New Roman;serif"/>
                  <w:b w:val="false"/>
                  <w:color w:val="000080"/>
                  <w:sz w:val="20"/>
                  <w:u w:val="single"/>
                </w:rPr>
                <w:t>3</w:t>
              </w:r>
            </w:hyperlink>
            <w:hyperlink r:id="rId27">
              <w:r>
                <w:rPr>
                  <w:rStyle w:val="InternetLink"/>
                  <w:rFonts w:ascii="Times New Roman;serif" w:hAnsi="Times New Roman;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80"/>
                  <w:sz w:val="20"/>
                  <w:u w:val="single"/>
                </w:rPr>
                <w:t>Form of Award Agreement for Restricted Share Unit Retention Awards relating to the United Technologies Corporation Executive Leadership Group Program (referred to above in Exhibit 10.</w:t>
              </w:r>
            </w:hyperlink>
            <w:hyperlink r:id="rId29">
              <w:r>
                <w:rPr>
                  <w:rStyle w:val="InternetLink"/>
                  <w:rFonts w:ascii="Times New Roman;serif" w:hAnsi="Times New Roman;serif"/>
                  <w:b w:val="false"/>
                  <w:color w:val="000080"/>
                  <w:sz w:val="20"/>
                  <w:u w:val="single"/>
                </w:rPr>
                <w:t>3</w:t>
              </w:r>
            </w:hyperlink>
            <w:hyperlink r:id="rId30">
              <w:r>
                <w:rPr>
                  <w:rStyle w:val="InternetLink"/>
                  <w:rFonts w:ascii="Times New Roman;serif" w:hAnsi="Times New Roman;serif"/>
                  <w:b w:val="false"/>
                  <w:color w:val="000080"/>
                  <w:sz w:val="20"/>
                  <w:u w:val="single"/>
                </w:rPr>
                <w:t>), incorporated by reference to Exhibit 10.13 to the Company’s Quarterly Report on Form 10-Q (Commission file number 1-812) for the quarterly period ended September 30, 2013</w:t>
              </w:r>
            </w:hyperlink>
            <w:r>
              <w:rPr>
                <w:rFonts w:ascii="Times New Roman;serif" w:hAnsi="Times New Roman;serif"/>
                <w:b w:val="false"/>
                <w:color w:val="000000"/>
                <w:sz w:val="20"/>
              </w:rPr>
              <w:t xml:space="preserve">; and </w:t>
            </w:r>
            <w:hyperlink r:id="rId31">
              <w:r>
                <w:rPr>
                  <w:rStyle w:val="InternetLink"/>
                  <w:rFonts w:ascii="Times New Roman;serif" w:hAnsi="Times New Roman;serif"/>
                  <w:b w:val="false"/>
                  <w:color w:val="000080"/>
                  <w:sz w:val="20"/>
                  <w:u w:val="single"/>
                </w:rPr>
                <w:t>Form of Award Agreement for Restricted Share Unit Retention Awards relating to the United Technologies Leadership Group Program, effective April 1, 2019 (referred to above in Exhibit 10.</w:t>
              </w:r>
            </w:hyperlink>
            <w:hyperlink r:id="rId32">
              <w:r>
                <w:rPr>
                  <w:rStyle w:val="InternetLink"/>
                  <w:rFonts w:ascii="Times New Roman;serif" w:hAnsi="Times New Roman;serif"/>
                  <w:b w:val="false"/>
                  <w:color w:val="000080"/>
                  <w:sz w:val="20"/>
                  <w:u w:val="single"/>
                </w:rPr>
                <w:t>3</w:t>
              </w:r>
            </w:hyperlink>
            <w:hyperlink r:id="rId33">
              <w:r>
                <w:rPr>
                  <w:rStyle w:val="InternetLink"/>
                  <w:rFonts w:ascii="Times New Roman;serif" w:hAnsi="Times New Roman;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United Technologies Corporation Board of Directors Deferred Stock Unit Plan, as Amended and Restated, effective as of April 29, 2019, incorporated by reference to Exhibit 10.8 to the Company’s Annual Report on Form 10-K (Commission file number 1-812) for the fiscal year ended December 31,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80"/>
                  <w:sz w:val="20"/>
                  <w:u w:val="single"/>
                </w:rPr>
                <w:t>Retainer Payment Election Form for United Technologies Corporation Board of Directors Deferred Stock Unit Plan (referred to above in Exhibit 10.</w:t>
              </w:r>
            </w:hyperlink>
            <w:hyperlink r:id="rId36">
              <w:r>
                <w:rPr>
                  <w:rStyle w:val="InternetLink"/>
                  <w:rFonts w:ascii="Times New Roman;serif" w:hAnsi="Times New Roman;serif"/>
                  <w:b w:val="false"/>
                  <w:color w:val="000080"/>
                  <w:sz w:val="20"/>
                  <w:u w:val="single"/>
                </w:rPr>
                <w:t>6</w:t>
              </w:r>
            </w:hyperlink>
            <w:hyperlink r:id="rId37">
              <w:r>
                <w:rPr>
                  <w:rStyle w:val="InternetLink"/>
                  <w:rFonts w:ascii="Times New Roman;serif" w:hAnsi="Times New Roman;serif"/>
                  <w:b w:val="false"/>
                  <w:color w:val="000080"/>
                  <w:sz w:val="20"/>
                  <w:u w:val="single"/>
                </w:rPr>
                <w:t>), incorporated by reference to Exhibit 10.9 to the Company’s Annual Report on Form 10-K (Commission file number 1-812) for the fiscal year ended December 31,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80"/>
                  <w:sz w:val="20"/>
                  <w:u w:val="single"/>
                </w:rPr>
                <w:t>Form of Deferred Restricted Stock Unit Award relating to the United Technologies Corporation Board of Directors Deferred Stock Unit Plan (referred to above in Exhibit 10.</w:t>
              </w:r>
            </w:hyperlink>
            <w:hyperlink r:id="rId39">
              <w:r>
                <w:rPr>
                  <w:rStyle w:val="InternetLink"/>
                  <w:rFonts w:ascii="Times New Roman;serif" w:hAnsi="Times New Roman;serif"/>
                  <w:b w:val="false"/>
                  <w:color w:val="000080"/>
                  <w:sz w:val="20"/>
                  <w:u w:val="single"/>
                </w:rPr>
                <w:t>6</w:t>
              </w:r>
            </w:hyperlink>
            <w:hyperlink r:id="rId40">
              <w:r>
                <w:rPr>
                  <w:rStyle w:val="InternetLink"/>
                  <w:rFonts w:ascii="Times New Roman;serif" w:hAnsi="Times New Roman;serif"/>
                  <w:b w:val="false"/>
                  <w:color w:val="000080"/>
                  <w:sz w:val="20"/>
                  <w:u w:val="single"/>
                </w:rPr>
                <w:t>), incorporated by reference to Exhibit 10.10 to the Company’s Annual Report on Form 10-K (Commission file number 1-812) for the fiscal year ended December 31,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United Technologies Corporation Long-Term Incentive Plan, as amended and restated effective April 28, 2014, incorporated by reference to Exhibit 10.1 to the Company’s Current Report on Form 8-K (Commission file number 1-812) filed with the SEC on May 2, 2014,</w:t>
              </w:r>
            </w:hyperlink>
            <w:r>
              <w:rPr>
                <w:color w:val="000000"/>
              </w:rPr>
              <w:t xml:space="preserve"> </w:t>
            </w:r>
            <w:r>
              <w:rPr>
                <w:rFonts w:ascii="Times New Roman;serif" w:hAnsi="Times New Roman;serif"/>
                <w:b w:val="false"/>
                <w:color w:val="000000"/>
                <w:sz w:val="20"/>
              </w:rPr>
              <w:t xml:space="preserve">as further amended by </w:t>
            </w:r>
            <w:hyperlink r:id="rId42">
              <w:r>
                <w:rPr>
                  <w:rStyle w:val="InternetLink"/>
                  <w:rFonts w:ascii="Times New Roman;serif" w:hAnsi="Times New Roman;serif"/>
                  <w:b w:val="false"/>
                  <w:color w:val="0000FF"/>
                  <w:sz w:val="20"/>
                  <w:u w:val="single"/>
                </w:rPr>
                <w:t>Amendment No. 1, effective as of February 5, 2016, incorporated by reference to Exhibit 10.12 to the Company’s Annual Report on Form 10-K (Commission file number 1-812) for the fiscal year ended December 31, 2015.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80"/>
                  <w:sz w:val="20"/>
                  <w:u w:val="single"/>
                </w:rPr>
                <w:t>Schedule of Terms for non-qualified stock option awards relating to the United Technologies Corporation Long-Term Incentive Plan (referred to above in Exhibit 10.</w:t>
              </w:r>
            </w:hyperlink>
            <w:hyperlink r:id="rId44">
              <w:r>
                <w:rPr>
                  <w:rStyle w:val="InternetLink"/>
                  <w:rFonts w:ascii="Times New Roman;serif" w:hAnsi="Times New Roman;serif"/>
                  <w:b w:val="false"/>
                  <w:color w:val="000080"/>
                  <w:sz w:val="20"/>
                  <w:u w:val="single"/>
                </w:rPr>
                <w:t>9</w:t>
              </w:r>
            </w:hyperlink>
            <w:hyperlink r:id="rId45">
              <w:r>
                <w:rPr>
                  <w:rStyle w:val="InternetLink"/>
                  <w:rFonts w:ascii="Times New Roman;serif" w:hAnsi="Times New Roman;serif"/>
                  <w:b w:val="false"/>
                  <w:color w:val="000080"/>
                  <w:sz w:val="20"/>
                  <w:u w:val="single"/>
                </w:rPr>
                <w:t>) (Rev. January 2016), incorporated by reference to Exhibit 10.15 to the Company’s Annual Report on Form 10-K (Commission file number 1-812) for the fiscal year ended December 31, 2015.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Form of Award Agreement for non-qualified stock option awards relating to the United Technologies Corporation Long-Term Incentive Plan (referred to above in Exhibit 10.</w:t>
              </w:r>
            </w:hyperlink>
            <w:hyperlink r:id="rId47">
              <w:r>
                <w:rPr>
                  <w:rStyle w:val="InternetLink"/>
                  <w:rFonts w:ascii="Times New Roman;serif" w:hAnsi="Times New Roman;serif"/>
                  <w:b w:val="false"/>
                  <w:color w:val="000080"/>
                  <w:sz w:val="20"/>
                  <w:u w:val="single"/>
                </w:rPr>
                <w:t>9</w:t>
              </w:r>
            </w:hyperlink>
            <w:hyperlink r:id="rId48">
              <w:r>
                <w:rPr>
                  <w:rStyle w:val="InternetLink"/>
                  <w:rFonts w:ascii="Times New Roman;serif" w:hAnsi="Times New Roman;serif"/>
                  <w:b w:val="false"/>
                  <w:color w:val="000080"/>
                  <w:sz w:val="20"/>
                  <w:u w:val="single"/>
                </w:rPr>
                <w:t>), incorporated by reference to Exhibit 10.15 to the Company’s Annual Report on Form 10-K (Commission file number 1-812) for the fiscal year ended December 31, 2016.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Schedule of Terms for stock appreciation rights awards relating to the United Technologies Corporation 2005 Long-Term Incentive Plan (referred to above in Exhibit 10.</w:t>
              </w:r>
            </w:hyperlink>
            <w:hyperlink r:id="rId50">
              <w:r>
                <w:rPr>
                  <w:rStyle w:val="InternetLink"/>
                  <w:rFonts w:ascii="Times New Roman;serif" w:hAnsi="Times New Roman;serif"/>
                  <w:b w:val="false"/>
                  <w:color w:val="000080"/>
                  <w:sz w:val="20"/>
                  <w:u w:val="single"/>
                </w:rPr>
                <w:t>9</w:t>
              </w:r>
            </w:hyperlink>
            <w:hyperlink r:id="rId51">
              <w:r>
                <w:rPr>
                  <w:rStyle w:val="InternetLink"/>
                  <w:rFonts w:ascii="Times New Roman;serif" w:hAnsi="Times New Roman;serif"/>
                  <w:b w:val="false"/>
                  <w:color w:val="000080"/>
                  <w:sz w:val="20"/>
                  <w:u w:val="single"/>
                </w:rPr>
                <w:t>) (Rev. January 2016), incorporated by reference to Exhibit 10.18 to the Company’s Annual Report on Form 10-K (Commission file number 1-812) for the fiscal year ended December 31, 2015.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u w:val="single"/>
                </w:rPr>
                <w:t>Form of Award Agreement for restricted stock unit, performance share unit and stock appreciation rights awards relating to the United Technologies Corporation Long-Term Incentive Plan (referred to above in Exhibit 10.</w:t>
              </w:r>
            </w:hyperlink>
            <w:hyperlink r:id="rId53">
              <w:r>
                <w:rPr>
                  <w:rStyle w:val="InternetLink"/>
                  <w:rFonts w:ascii="Times New Roman;serif" w:hAnsi="Times New Roman;serif"/>
                  <w:b w:val="false"/>
                  <w:color w:val="000080"/>
                  <w:sz w:val="20"/>
                  <w:u w:val="single"/>
                </w:rPr>
                <w:t>9</w:t>
              </w:r>
            </w:hyperlink>
            <w:hyperlink r:id="rId54">
              <w:r>
                <w:rPr>
                  <w:rStyle w:val="InternetLink"/>
                  <w:rFonts w:ascii="Times New Roman;serif" w:hAnsi="Times New Roman;serif"/>
                  <w:b w:val="false"/>
                  <w:color w:val="000080"/>
                  <w:sz w:val="20"/>
                  <w:u w:val="single"/>
                </w:rPr>
                <w:t>), incorporated by reference to Exhibit 10.18 to the Company’s Annual Report on Form 10-K (Commission file number 1-812) for the fiscal year ended December 31, 2016.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United Technologies Corporation LTIP Performance Share Unit Deferral Plan, relating to the Long-Term Incentive Plan (referred to above in Exhibit 10.</w:t>
              </w:r>
            </w:hyperlink>
            <w:hyperlink r:id="rId56">
              <w:r>
                <w:rPr>
                  <w:rStyle w:val="InternetLink"/>
                  <w:rFonts w:ascii="Times New Roman;serif" w:hAnsi="Times New Roman;serif"/>
                  <w:b w:val="false"/>
                  <w:color w:val="000080"/>
                  <w:sz w:val="20"/>
                  <w:u w:val="single"/>
                </w:rPr>
                <w:t>9</w:t>
              </w:r>
            </w:hyperlink>
            <w:hyperlink r:id="rId57">
              <w:r>
                <w:rPr>
                  <w:rStyle w:val="InternetLink"/>
                  <w:rFonts w:ascii="Times New Roman;serif" w:hAnsi="Times New Roman;serif"/>
                  <w:b w:val="false"/>
                  <w:color w:val="000080"/>
                  <w:sz w:val="20"/>
                  <w:u w:val="single"/>
                </w:rPr>
                <w:t>) as amended and restated, effective January 1, 2020, incorporated by reference to Exhibit 10.18 to the Company’s Annual Report on Form 10-K (Commission file number 1-812) for the fiscal year ended December 31,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8"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23"/>
        <w:gridCol w:w="3057"/>
        <w:gridCol w:w="3065"/>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United Technologies Corporation Company Automatic Contribution Excess Plan, as amended and restated, effective January 1, 2020, incorporated by reference to Exhibit 10.20 to the Company’s Annual Report on Form 10-K (Commission file number 1-812) for the fiscal year ended December 31,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United Technologies Corporation Savings Restoration Plan executed July 16, 2018 (amended and restated as of January 1, 2011), incorporated by reference to Exhibit 10.3 to the Company’s Quarterly Report on Form 10-Q (Commission file number 1-812) for the quarterly period ended June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924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Times New Roman;serif" w:hAnsi="Times New Roman;serif"/>
                  <w:b w:val="false"/>
                  <w:color w:val="0000FF"/>
                  <w:sz w:val="20"/>
                  <w:u w:val="single"/>
                </w:rPr>
                <w:t>Raytheon Technologies Corporation 2018 Long-Term Incentive Plan, incorporated by reference to Exhibit 10.1 of the Company’s Current Report on Form 8-K (Commission file number 1-812) filed with the SEC on May 3, 2018</w:t>
              </w:r>
            </w:hyperlink>
            <w:r>
              <w:rPr>
                <w:rFonts w:ascii="Times New Roman;serif" w:hAnsi="Times New Roman;serif"/>
                <w:b w:val="false"/>
                <w:color w:val="000000"/>
                <w:sz w:val="20"/>
              </w:rPr>
              <w:t xml:space="preserve">, as amended by </w:t>
            </w:r>
            <w:hyperlink r:id="rId61">
              <w:r>
                <w:rPr>
                  <w:rStyle w:val="InternetLink"/>
                  <w:rFonts w:ascii="Times New Roman;serif" w:hAnsi="Times New Roman;serif"/>
                  <w:b w:val="false"/>
                  <w:color w:val="0000FF"/>
                  <w:sz w:val="20"/>
                  <w:u w:val="single"/>
                </w:rPr>
                <w:t>Amendment No. 1, effective as of December 6, 2020, incorporated by reference to Exhibit 10.22 to the Company’s Annual Report on Form 10-K (Commission file number 1-812) for the fiscal year ended December 31,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80"/>
                  <w:sz w:val="20"/>
                  <w:u w:val="single"/>
                </w:rPr>
                <w:t>Schedule of Terms for stock appreciation right awards relating to the Raytheon Technologies Corporation 2018 Long-Term Incentive Plan, as amended (referred to above in Exhibit 10.</w:t>
              </w:r>
            </w:hyperlink>
            <w:hyperlink r:id="rId63">
              <w:r>
                <w:rPr>
                  <w:rStyle w:val="InternetLink"/>
                  <w:rFonts w:ascii="Times New Roman;serif" w:hAnsi="Times New Roman;serif"/>
                  <w:b w:val="false"/>
                  <w:color w:val="000080"/>
                  <w:sz w:val="20"/>
                  <w:u w:val="single"/>
                </w:rPr>
                <w:t>17</w:t>
              </w:r>
            </w:hyperlink>
            <w:hyperlink r:id="rId64">
              <w:r>
                <w:rPr>
                  <w:rStyle w:val="InternetLink"/>
                  <w:rFonts w:ascii="Times New Roman;serif" w:hAnsi="Times New Roman;serif"/>
                  <w:b w:val="false"/>
                  <w:color w:val="000080"/>
                  <w:sz w:val="20"/>
                  <w:u w:val="single"/>
                </w:rPr>
                <w:t>), incorporated by reference to Exhibit 10.6 to the Company’s Quarterly Report on Form 10-Q (Commission file number 1-812) for the quarterly period ended March 31,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80"/>
                  <w:sz w:val="20"/>
                  <w:u w:val="single"/>
                </w:rPr>
                <w:t>Schedule of Terms for stock option awards relating to the Raytheon Technologies Corporation 2018 Long-Term Incentive Plan, as amended (referred to above in Exhibit 10.</w:t>
              </w:r>
            </w:hyperlink>
            <w:hyperlink r:id="rId66">
              <w:r>
                <w:rPr>
                  <w:rStyle w:val="InternetLink"/>
                  <w:rFonts w:ascii="Times New Roman;serif" w:hAnsi="Times New Roman;serif"/>
                  <w:b w:val="false"/>
                  <w:color w:val="000080"/>
                  <w:sz w:val="20"/>
                  <w:u w:val="single"/>
                </w:rPr>
                <w:t>17</w:t>
              </w:r>
            </w:hyperlink>
            <w:hyperlink r:id="rId67">
              <w:r>
                <w:rPr>
                  <w:rStyle w:val="InternetLink"/>
                  <w:rFonts w:ascii="Times New Roman;serif" w:hAnsi="Times New Roman;serif"/>
                  <w:b w:val="false"/>
                  <w:color w:val="000080"/>
                  <w:sz w:val="20"/>
                  <w:u w:val="single"/>
                </w:rPr>
                <w:t>), incorporated by reference to Exhibit 10.7 to the Company’s Quarterly Report on Form 10-Q (Commission file number 1-812) for the quarterly period ended March 31,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80"/>
                  <w:sz w:val="20"/>
                  <w:u w:val="single"/>
                </w:rPr>
                <w:t>Rockwell Collins’ Deferred Compensation Plan, as amended, incorporated by reference</w:t>
              </w:r>
            </w:hyperlink>
            <w:hyperlink r:id="rId69">
              <w:r>
                <w:rPr>
                  <w:rStyle w:val="InternetLink"/>
                  <w:rFonts w:ascii="Times New Roman;serif" w:hAnsi="Times New Roman;serif"/>
                  <w:b w:val="false"/>
                  <w:color w:val="000080"/>
                  <w:sz w:val="20"/>
                  <w:u w:val="single"/>
                </w:rPr>
                <w:t xml:space="preserve"> to Exhibit 10-f-2 to Rockwell Collins’ Annual Report on Form 10-K (Commission file number 0001-16445) for the fiscal year ended September 30, 2007</w:t>
              </w:r>
            </w:hyperlink>
            <w:r>
              <w:rPr>
                <w:rFonts w:ascii="Times New Roman;serif" w:hAnsi="Times New Roman;serif"/>
                <w:b w:val="false"/>
                <w:color w:val="000000"/>
                <w:sz w:val="20"/>
              </w:rPr>
              <w:t xml:space="preserve">; and </w:t>
            </w:r>
            <w:hyperlink r:id="rId70">
              <w:r>
                <w:rPr>
                  <w:rStyle w:val="InternetLink"/>
                  <w:rFonts w:ascii="Times New Roman;serif" w:hAnsi="Times New Roman;serif"/>
                  <w:b w:val="false"/>
                  <w:color w:val="0000FF"/>
                  <w:sz w:val="20"/>
                  <w:u w:val="single"/>
                </w:rPr>
                <w:t>Amendment No. 1 to Rockwell Collins’ Deferred Compensation Plan, as amended, incorporated by reference to Exhibit 10-f-2 to Rockwell Collins’ Annual Report on Form 10-K/A (Commission file number 0001-16445) for the fiscal year ended September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Rockwell Collins’ 2005 Deferred Compensation Plan, as amended and restated as of June 27, 2017, incorporated by reference to Exhibit 10-f-1 to Rockwell Collins’ Quarterly Report on Form 10-Q (Commission file number 0001-16445) for the quarterly period ended June 30, 2017</w:t>
              </w:r>
            </w:hyperlink>
            <w:r>
              <w:rPr>
                <w:rFonts w:ascii="Times New Roman;serif" w:hAnsi="Times New Roman;serif"/>
                <w:b w:val="false"/>
                <w:color w:val="000000"/>
                <w:sz w:val="20"/>
              </w:rPr>
              <w:t xml:space="preserve">; </w:t>
            </w:r>
            <w:hyperlink r:id="rId72">
              <w:r>
                <w:rPr>
                  <w:rStyle w:val="InternetLink"/>
                  <w:rFonts w:ascii="Times New Roman;serif" w:hAnsi="Times New Roman;serif"/>
                  <w:b w:val="false"/>
                  <w:color w:val="0000FF"/>
                  <w:sz w:val="20"/>
                  <w:u w:val="single"/>
                </w:rPr>
                <w:t>Amendment No. 1 to Rockwell Collins’ 2005 Deferred Compensation Plan, incorporated by reference to Exhibit 10-f-1 to Rockwell Collins’ Quarterly Report on Form 10-Q (Commission file number 0001-16445) for the quarterly period ended December 31, 2017</w:t>
              </w:r>
            </w:hyperlink>
            <w:r>
              <w:rPr>
                <w:rFonts w:ascii="Times New Roman;serif" w:hAnsi="Times New Roman;serif"/>
                <w:b w:val="false"/>
                <w:color w:val="000000"/>
                <w:sz w:val="20"/>
              </w:rPr>
              <w:t xml:space="preserve">; and </w:t>
            </w:r>
            <w:hyperlink r:id="rId73">
              <w:r>
                <w:rPr>
                  <w:rStyle w:val="InternetLink"/>
                  <w:rFonts w:ascii="Times New Roman;serif" w:hAnsi="Times New Roman;serif"/>
                  <w:b w:val="false"/>
                  <w:color w:val="0000FF"/>
                  <w:sz w:val="20"/>
                  <w:u w:val="single"/>
                </w:rPr>
                <w:t>Amendment No. 2 to Rockwell Collins’ 2005 Deferred Compensation Plan, as amended, incorporated by reference to Exhibit 10-f-6 to Rockwell Collins’ Annual Report on Form 10-K/A (Commission file number 0001-16445) for the fiscal year ended September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80"/>
                  <w:sz w:val="20"/>
                  <w:u w:val="single"/>
                </w:rPr>
                <w:t>Rockwell Collins’ Non-Qualified Savings Plan, as amended, incorporated by reference</w:t>
              </w:r>
            </w:hyperlink>
            <w:hyperlink r:id="rId75">
              <w:r>
                <w:rPr>
                  <w:rStyle w:val="InternetLink"/>
                  <w:rFonts w:ascii="Times New Roman;serif" w:hAnsi="Times New Roman;serif"/>
                  <w:b w:val="false"/>
                  <w:color w:val="000080"/>
                  <w:sz w:val="20"/>
                  <w:u w:val="single"/>
                </w:rPr>
                <w:t xml:space="preserve"> to Exhibit 10-g-2 to Rockwell Collins’ Annual Report on Form 10-K (Commission file number 0001-16445) for the fiscal year ended September 30, 2007;</w:t>
              </w:r>
            </w:hyperlink>
            <w:r>
              <w:rPr>
                <w:color w:val="000000"/>
              </w:rPr>
              <w:t xml:space="preserve"> </w:t>
            </w:r>
            <w:r>
              <w:rPr>
                <w:rFonts w:ascii="Times New Roman;serif" w:hAnsi="Times New Roman;serif"/>
                <w:b w:val="false"/>
                <w:color w:val="000000"/>
                <w:sz w:val="20"/>
              </w:rPr>
              <w:t xml:space="preserve">and </w:t>
            </w:r>
            <w:hyperlink r:id="rId76">
              <w:r>
                <w:rPr>
                  <w:rStyle w:val="InternetLink"/>
                  <w:rFonts w:ascii="Times New Roman;serif" w:hAnsi="Times New Roman;serif"/>
                  <w:b w:val="false"/>
                  <w:color w:val="0000FF"/>
                  <w:sz w:val="20"/>
                  <w:u w:val="single"/>
                </w:rPr>
                <w:t>Amendment No. 1 to Rockwell Collins’ Non-Qualified Savings Plan, incorporated by reference to Exhibit 10-g-2 Rockwell Collins’ Annual Report on Form 10-K/A (Commission file number 0001-16445) for the fiscal year ended September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80"/>
                  <w:sz w:val="20"/>
                  <w:u w:val="single"/>
                </w:rPr>
                <w:t>Rockwell Collins’ 2005 Non-Qualified Retirement Savings Plan, as amended and restated as of July 17, 2018, incorporated by reference</w:t>
              </w:r>
            </w:hyperlink>
            <w:hyperlink r:id="rId78">
              <w:r>
                <w:rPr>
                  <w:rStyle w:val="InternetLink"/>
                  <w:rFonts w:ascii="Times New Roman;serif" w:hAnsi="Times New Roman;serif"/>
                  <w:b w:val="false"/>
                  <w:color w:val="000080"/>
                  <w:sz w:val="20"/>
                  <w:u w:val="single"/>
                </w:rPr>
                <w:t xml:space="preserve"> to Exhibit 10-g-6 to Rockwell Collins’ Annual Report on Form 10-K/A (Commission file number 0001-16445) for the fiscal year ended September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Rockwell Collins’ 2005 Non-Qualified Pension Plan, as amended, incorporated by reference to Exhibit 10-h-1 to Rockwell Collins’ Quarterly Report on Form 10-Q (Commission file number 0001-16445) for the quarterly period ended June 30, 2012</w:t>
              </w:r>
            </w:hyperlink>
            <w:r>
              <w:rPr>
                <w:rFonts w:ascii="Times New Roman;serif" w:hAnsi="Times New Roman;serif"/>
                <w:b w:val="false"/>
                <w:color w:val="000000"/>
                <w:sz w:val="20"/>
              </w:rPr>
              <w:t xml:space="preserve">; </w:t>
            </w:r>
            <w:hyperlink r:id="rId80">
              <w:r>
                <w:rPr>
                  <w:rStyle w:val="InternetLink"/>
                  <w:rFonts w:ascii="Times New Roman;serif" w:hAnsi="Times New Roman;serif"/>
                  <w:b w:val="false"/>
                  <w:color w:val="0000FF"/>
                  <w:sz w:val="20"/>
                  <w:u w:val="single"/>
                </w:rPr>
                <w:t>Amendment No. 1 to Rockwell Collins’ Non-Qualified Pension Plan, as amended, incorporated by reference to Exhibit 10-h-1 to Rockwell Collins’ Quarterly Report on Form 10-Q (Commission file number 0001-16445) for the quarterly period ended December 31, 2015</w:t>
              </w:r>
            </w:hyperlink>
            <w:r>
              <w:rPr>
                <w:rFonts w:ascii="Times New Roman;serif" w:hAnsi="Times New Roman;serif"/>
                <w:b w:val="false"/>
                <w:color w:val="000000"/>
                <w:sz w:val="20"/>
              </w:rPr>
              <w:t xml:space="preserve">; and </w:t>
            </w:r>
            <w:hyperlink r:id="rId81">
              <w:r>
                <w:rPr>
                  <w:rStyle w:val="InternetLink"/>
                  <w:rFonts w:ascii="Times New Roman;serif" w:hAnsi="Times New Roman;serif"/>
                  <w:b w:val="false"/>
                  <w:color w:val="0000FF"/>
                  <w:sz w:val="20"/>
                  <w:u w:val="single"/>
                </w:rPr>
                <w:t>Amendment No. 2 to Rockwell Collins’ 2005 Non-Qualified Pension Plan, as amended, incorporated by reference to Exhibit 10-h-3 to Rockwell Collins’ Annual Report on Form 10-K/A (Commission file number 0001-16445) for the fiscal year ended September 30,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80"/>
                  <w:sz w:val="20"/>
                  <w:u w:val="single"/>
                </w:rPr>
                <w:t>Amendment dated February 3, 2020, to the terms of certain awards granted under the Company’s Long Term Incentive Plans (referred to above in Exhibits 10.</w:t>
              </w:r>
            </w:hyperlink>
            <w:hyperlink r:id="rId83">
              <w:r>
                <w:rPr>
                  <w:rStyle w:val="InternetLink"/>
                  <w:rFonts w:ascii="Times New Roman;serif" w:hAnsi="Times New Roman;serif"/>
                  <w:b w:val="false"/>
                  <w:color w:val="000080"/>
                  <w:sz w:val="20"/>
                  <w:u w:val="single"/>
                </w:rPr>
                <w:t>9</w:t>
              </w:r>
            </w:hyperlink>
            <w:hyperlink r:id="rId84">
              <w:r>
                <w:rPr>
                  <w:rStyle w:val="InternetLink"/>
                  <w:rFonts w:ascii="Times New Roman;serif" w:hAnsi="Times New Roman;serif"/>
                  <w:b w:val="false"/>
                  <w:color w:val="000080"/>
                  <w:sz w:val="20"/>
                  <w:u w:val="single"/>
                </w:rPr>
                <w:t xml:space="preserve"> and 10.</w:t>
              </w:r>
            </w:hyperlink>
            <w:hyperlink r:id="rId85">
              <w:r>
                <w:rPr>
                  <w:rStyle w:val="InternetLink"/>
                  <w:rFonts w:ascii="Times New Roman;serif" w:hAnsi="Times New Roman;serif"/>
                  <w:b w:val="false"/>
                  <w:color w:val="000080"/>
                  <w:sz w:val="20"/>
                  <w:u w:val="single"/>
                </w:rPr>
                <w:t>17</w:t>
              </w:r>
            </w:hyperlink>
            <w:hyperlink r:id="rId86">
              <w:r>
                <w:rPr>
                  <w:rStyle w:val="InternetLink"/>
                  <w:rFonts w:ascii="Times New Roman;serif" w:hAnsi="Times New Roman;serif"/>
                  <w:b w:val="false"/>
                  <w:color w:val="000080"/>
                  <w:sz w:val="20"/>
                  <w:u w:val="single"/>
                </w:rPr>
                <w:t>), by and between United Technologies Corporation and Judy Marks incorporated by reference to Exhibit 10.40 of the Company’s Annual Report on Form 10-K (Commission file number 1-812) for the fiscal year ended December 31, 2019.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9"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19"/>
        <w:gridCol w:w="3059"/>
        <w:gridCol w:w="3067"/>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Tax Matters Agreement, dated as of April 2, 2020, by and among United Technologies Corporation, Otis Worldwide Corporation and Carrier Global Corporation (incorporated by reference to Exhibit 10.2 of the Company’s Current Report on Form 8-K (Commission file number 1-812) filed with the SEC on April 8,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Employee Matters Agreement, dated as of April 2, 2020, by and among United Technologies Corporation, Otis Worldwide Corporation and Carrier Global Corporation (incorporated by reference to Exhibit 10.3 of the Company’s Current Report on Form 8-K (Commission file number 1-812) filed with the SEC on April 8,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80"/>
                  <w:sz w:val="20"/>
                  <w:u w:val="single"/>
                </w:rPr>
                <w:t>First Amendment to Employee Matters Agreement (referred to above in Exhibit 10.</w:t>
              </w:r>
            </w:hyperlink>
            <w:hyperlink r:id="rId90">
              <w:r>
                <w:rPr>
                  <w:rStyle w:val="InternetLink"/>
                  <w:rFonts w:ascii="Times New Roman;serif" w:hAnsi="Times New Roman;serif"/>
                  <w:b w:val="false"/>
                  <w:color w:val="000080"/>
                  <w:sz w:val="20"/>
                  <w:u w:val="single"/>
                </w:rPr>
                <w:t>27</w:t>
              </w:r>
            </w:hyperlink>
            <w:hyperlink r:id="rId91">
              <w:r>
                <w:rPr>
                  <w:rStyle w:val="InternetLink"/>
                  <w:rFonts w:ascii="Times New Roman;serif" w:hAnsi="Times New Roman;serif"/>
                  <w:b w:val="false"/>
                  <w:color w:val="000080"/>
                  <w:sz w:val="20"/>
                  <w:u w:val="single"/>
                </w:rPr>
                <w:t>), dated as of May 22, 2020 (incorporated by reference to Exhibit 10.1 of the Company’s Current Report on Form 8-K (Commission file number 1-812) filed with the SEC on May 29,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erif" w:hAnsi="Times New Roman;serif"/>
                  <w:b w:val="false"/>
                  <w:color w:val="0000FF"/>
                  <w:sz w:val="20"/>
                  <w:u w:val="single"/>
                </w:rPr>
                <w:t>Raytheon Company Excess Savings Plan, as amended and restated effective as of January 1, 2009, as further amended effective January 1, 2010 and November 1, 2013, incorporated by reference to Exhibit 10.9 to Raytheon Company’s Annual Report on Form 10-K for the year ended December 31,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Raytheon Company Excess Pension Plan, as amended and restated effective as of January 1, 2009, as further amended effective January 1, 2009, incorporated by reference to Exhibit 10.10 to Raytheon Company’s Annual Report on Form 10-K for the year ended December 31,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Raytheon Company Supplemental Executive Retirement Plan, as amended and restated effective as of January 1, 2009, as further amended effective January 1, 2011, incorporated by reference to Exhibit 10.11 to Raytheon Company’s Annual Report on Form 10-K for the year ended December 31,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Raytheon Company Deferred Compensation Plan, as amended and restated effective as of January 1, 2009, as further amended effective January 1, 2009, January 1, 2010, May 6, 2010 and November 1, 2013, incorporated by reference to Exhibit 10.12 to Raytheon Company’s Annual Report on Form 10-K for the year ended December 31,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Schedule of Terms for stock appreciation right awards relating to the Raytheon Technologies Corporation 2018 Long-Term Incentive Plan, as amended and restated (referred to in Exhibit 10.22 to the Company’s Annual Report on Form 10-K (Commission file number 1-812) for the fiscal year ended December 31, 2021), incorporated by reference to Exhibit 10.3 to the Company’s Quarterly Report on Form 10-Q (Commission file number 1-812) for the quarterly period ended March 31,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Schedule of Terms for stock option awards relating to the Raytheon Technologies Corporation 2018 Long-Term Incentive Plan, as amended and restated (referred to in Exhibit 10.22 to the Company’s Annual Report on Form 10-K (Commission file number 1-812) for the fiscal year ended December 31, 2021), incorporated by reference to Exhibit 10.4 to the Company’s Quarterly Report on Form 10-Q (Commission file number 1-812) for the quarterly period ended March 31,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 xml:space="preserve">2023 Schedule of Terms for restricted stock unit awards relating to the Raytheon Technologies Corporation 2018 Long-Term Incentive Plan, as amended and restated, incorporated by reference to Exhibit 10.1 to the Company’s Quarterly Report on Form 10-Q for the quarterly period ended March 31, 2023.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2023 Schedule of Terms for performance share unit awards relating to the Raytheon Technologies Corporation 2018 Long-Term Incentive Plan, as amended and restated, incorporated by reference to Exhibit 10.2 to the Company’s Quarterly Report on Form 10-Q for the quarterly period ended March 31,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FF"/>
                  <w:sz w:val="20"/>
                  <w:u w:val="single"/>
                </w:rPr>
                <w:t xml:space="preserve">2023 Schedule of Terms for stock appreciation right awards relating to the Raytheon Technologies Corporation 2018 Long-Term Incentive Plan, as amended and restated, incorporated by reference to Exhibit 10.3 to the Company’s Quarterly Report on Form 10-Q for the quarterly period ended March 31, 2023.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 xml:space="preserve">2023 Schedule of Terms for stock option awards relating to the Raytheon Technologies Corporation 2018 Long-Term Incentive Plan, as amended and restated, incorporated by reference to Exhibit 10.4 to the Company’s Quarterly Report on Form 10-Q for the quarterly period ended March 31, 2023.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erif" w:hAnsi="Times New Roman;serif"/>
                  <w:b w:val="false"/>
                  <w:color w:val="0000FF"/>
                  <w:sz w:val="20"/>
                  <w:u w:val="single"/>
                </w:rPr>
                <w:t>RTX Corporation 2018 Long-Term Incentive Plan, as Amended and Restated, effective October 1, 2023, incorporated by reference to Exhibit 10.2 to the Company’s Quarterly Report on Form 10-Q for the quarterly period ended September 30,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0"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63"/>
        <w:gridCol w:w="3037"/>
        <w:gridCol w:w="3045"/>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RTX Corporation Board of Directors Deferred Stock Unit Plan, as Amended and Restated, effective October 1, 2023, incorporated by reference to Exhibit 10.3 to the Company’s Quarterly Report on Form 10-Q for the quarterly period ended September 30,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00FF"/>
                  <w:sz w:val="20"/>
                  <w:u w:val="single"/>
                </w:rPr>
                <w:t>RTX Corporation Executive Annual Incentive Plan, as Amended and Restated, effective October 1, 2023, incorporated by reference to Exhibit 10.4 to the Company’s Quarterly Report on Form 10-Q for the quarterly period ended September 30,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erif" w:hAnsi="Times New Roman;serif"/>
                  <w:b w:val="false"/>
                  <w:color w:val="0000FF"/>
                  <w:sz w:val="20"/>
                  <w:u w:val="single"/>
                </w:rPr>
                <w:t>RTX Corporation Performance Share Unit Deferral Plan, as Amended and Restated, effective October 1, 2023, incorporated by reference to Exhibit 10.6 to the Company’s Quarterly Report on Form 10-Q for the quarterly period ended September 30,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FF"/>
                  <w:sz w:val="20"/>
                  <w:u w:val="single"/>
                </w:rPr>
                <w:t xml:space="preserve">Form of ASR Agreements, incorporated by reference to Exhibit 10.1 of the Company’s Current Report on Form 8-K (Commission file number 1-812) filed with the SEC on October 25, 2023.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erif" w:hAnsi="Times New Roman;serif"/>
                  <w:b w:val="false"/>
                  <w:color w:val="0000FF"/>
                  <w:sz w:val="20"/>
                  <w:u w:val="single"/>
                </w:rPr>
                <w:t>Bridge Credit Agreement, dated as of October 24, 2023, among RTX Corporation, as borrower, the lenders from time to time party thereto and Citibank, N.A., as administrative agent, incorporated by reference to Exhibit 10.2 of the Company’s Current Report on Form 8-K (Commission file number 1-812) filed with the SEC on October 25,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erif" w:hAnsi="Times New Roman;serif"/>
                  <w:b w:val="false"/>
                  <w:color w:val="0000FF"/>
                  <w:sz w:val="20"/>
                  <w:u w:val="single"/>
                </w:rPr>
                <w:t>Term Loan Credit Agreement, dated November 7, 2023, among RTX Corporation, as borrower, the lenders from time to time party thereto and Citibank, N.A., as administrative agent, incorporated by reference to Exhibit 10.1 of the Company’s Current Report on Form 8-K (Commission file number 1-812) filed with the SEC on November 8,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erif" w:hAnsi="Times New Roman;serif"/>
                  <w:b w:val="false"/>
                  <w:color w:val="0000FF"/>
                  <w:sz w:val="20"/>
                  <w:u w:val="single"/>
                </w:rPr>
                <w:t>2024 Schedule of Terms for restricted stock unit awards relating to the RTX Corporation 2018 Long-Term Incentive Plan, as amended and restated, incorporated by reference to Exhibit 10.2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FF"/>
                  <w:sz w:val="20"/>
                  <w:u w:val="single"/>
                </w:rPr>
                <w:t>2024 Schedule of Terms for performance share unit awards relating to the RTX Corporation 2018 Long-Term Incentive Plan, as amended and restated, incorporated by reference to Exhibit 10.3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00FF"/>
                  <w:sz w:val="20"/>
                  <w:u w:val="single"/>
                </w:rPr>
                <w:t>2024 Schedule of Terms for stock appreciation right awards relating to the RTX Corporation 2018 Long-Term Incentive Plan, as amended and restated, incorporated by reference to Exhibit 10.4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erif" w:hAnsi="Times New Roman;serif"/>
                  <w:b w:val="false"/>
                  <w:color w:val="0000FF"/>
                  <w:sz w:val="20"/>
                  <w:u w:val="single"/>
                </w:rPr>
                <w:t>2024 Schedule of Terms for stock option awards relating to the RTX Corporation 2018 Long-Term Incentive Plan, as amended and restated, incorporated by reference to Exhibit 10.5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erif" w:hAnsi="Times New Roman;serif"/>
                  <w:b w:val="false"/>
                  <w:color w:val="0000FF"/>
                  <w:sz w:val="20"/>
                  <w:u w:val="single"/>
                </w:rPr>
                <w:t>RTX Corporation Executive Leadership Group Program, as amended and restated, effective December 19, 2023, incorporated by reference to Exhibit 10.6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imes New Roman;serif" w:hAnsi="Times New Roman;serif"/>
                  <w:b w:val="false"/>
                  <w:color w:val="0000FF"/>
                  <w:sz w:val="20"/>
                  <w:u w:val="single"/>
                </w:rPr>
                <w:t>Schedule of Terms for Restricted Stock Unit Retention Award under the RTX Corporation Executive Leadership Group Program, effective January 1, 2024, incorporated by reference to Exhibit 10.7 of the Company’s Quarterly Report on Form 10-Q for the quarterly period ended March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FF"/>
                  <w:sz w:val="20"/>
                  <w:u w:val="single"/>
                </w:rPr>
                <w:t>RTX Corporation Long-Term Incentive Plan, as Amended and Restated as of May 2, 2024, incorporated by reference to Exhibit 10.1 of the Company’s Quarterly Report on Form 10-Q for the quarterly period ended June 30,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Times New Roman;serif" w:hAnsi="Times New Roman;serif"/>
                  <w:b w:val="false"/>
                  <w:color w:val="0000FF"/>
                  <w:sz w:val="20"/>
                  <w:u w:val="single"/>
                </w:rPr>
                <w:t>RTX Corporation Executive Severance Plan, as Amended and Restated, effective October 18, 2024, incorporated by reference to Exhibit 10.70 of the Company’s Annual Report on Form 10-K for the year ended December 31,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erif" w:hAnsi="Times New Roman;serif"/>
                  <w:b w:val="false"/>
                  <w:color w:val="0000FF"/>
                  <w:sz w:val="20"/>
                  <w:u w:val="single"/>
                </w:rPr>
                <w:t>2025 Schedule of Terms for restricted stock unit awards relating to the RTX Corporation Long-Term Incentive Plan, as amended and restated, incorporated by reference to Exhibit 10.1 of the Company’s Quarterly Report on Form 10-Q for the quarterly period ended March 31,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Times New Roman;serif" w:hAnsi="Times New Roman;serif"/>
                  <w:b w:val="false"/>
                  <w:color w:val="0000FF"/>
                  <w:sz w:val="20"/>
                  <w:u w:val="single"/>
                </w:rPr>
                <w:t>2025 Schedule of Terms for performance share unit awards relating to the RTX Corporation Long-Term Incentive Plan, as amended and restated, incorporated by reference to Exhibit 10.2 of the Company’s Quarterly Report on Form 10-Q for the quarterly period ended March 31,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120</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5"/>
        <w:gridCol w:w="206"/>
        <w:gridCol w:w="208"/>
        <w:gridCol w:w="3489"/>
        <w:gridCol w:w="2842"/>
        <w:gridCol w:w="2850"/>
        <w:gridCol w:w="109"/>
        <w:gridCol w:w="109"/>
        <w:gridCol w:w="157"/>
      </w:tblGrid>
      <w:tr>
        <w:trPr/>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erif" w:hAnsi="Times New Roman;serif"/>
                  <w:b w:val="false"/>
                  <w:color w:val="0000FF"/>
                  <w:sz w:val="20"/>
                  <w:u w:val="single"/>
                </w:rPr>
                <w:t>2025 Schedule of Terms for stock appreciation right awards relating to the RTX Corporation Long-Term Incentive Plan, as amended and restated, incorporated by reference to Exhibit 10.3 of the Company’s Quarterly Report on Form 10-Q for the quarterly period ended March 31,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erif" w:hAnsi="Times New Roman;serif"/>
                  <w:b w:val="false"/>
                  <w:color w:val="0000FF"/>
                  <w:sz w:val="20"/>
                  <w:u w:val="single"/>
                </w:rPr>
                <w:t>2025 Schedule of Terms for stock option awards relating to the RTX Corporation Long-Term Incentive Plan, as amended and restated, incorporated by reference to Exhibit 10.4 of the Company’s Quarterly Report on Form 10-Q for the quarterly period ended March 31,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erif" w:hAnsi="Times New Roman;serif"/>
                  <w:b w:val="false"/>
                  <w:color w:val="0000FF"/>
                  <w:sz w:val="20"/>
                  <w:u w:val="single"/>
                </w:rPr>
                <w:t>RTX Corporation Compensation Deferral Plan, as Amended and Restated as of June 1, 2025, incorporated by reference to Exhibit 10.1 of the Company’s Quarterly Report on Form 10-Q for the quarterly period ended September 30,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92025-12x3110xk.htm">
              <w:r>
                <w:rPr>
                  <w:rStyle w:val="InternetLink"/>
                  <w:rFonts w:ascii="Times New Roman;serif" w:hAnsi="Times New Roman;serif"/>
                  <w:b w:val="false"/>
                  <w:color w:val="000080"/>
                  <w:sz w:val="20"/>
                  <w:u w:val="single"/>
                </w:rPr>
                <w:t>Ame</w:t>
              </w:r>
            </w:hyperlink>
            <w:hyperlink w:anchor="exhibit10592025-12x3110xk.htm">
              <w:r>
                <w:rPr>
                  <w:rStyle w:val="InternetLink"/>
                  <w:rFonts w:ascii="Times New Roman;serif" w:hAnsi="Times New Roman;serif"/>
                  <w:b w:val="false"/>
                  <w:color w:val="000080"/>
                  <w:sz w:val="20"/>
                  <w:u w:val="single"/>
                </w:rPr>
                <w:t>ndment, dated October 29, 2025, to the RTX Corporation Long-Term Incentive Plan, as amended and restated as of May 2, 2024 (referred to above in Exhibit 10.52).*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 of Conduct. The RTX Code of Conduct may be accessed via RTX’s website at https://www.rtx.com/who-we-are/ethics-and-compliance.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Times New Roman;serif" w:hAnsi="Times New Roman;serif"/>
                  <w:b w:val="false"/>
                  <w:color w:val="000080"/>
                  <w:sz w:val="20"/>
                  <w:u w:val="single"/>
                </w:rPr>
                <w:t>RTX Corporation General Corporate Policy – Securities Trading and Release of Material Nonpublic Information, effective as of October 4, 2021</w:t>
              </w:r>
            </w:hyperlink>
            <w:hyperlink r:id="rId123">
              <w:r>
                <w:rPr>
                  <w:rStyle w:val="InternetLink"/>
                  <w:rFonts w:ascii="Times New Roman;serif" w:hAnsi="Times New Roman;serif"/>
                  <w:b w:val="false"/>
                  <w:color w:val="000080"/>
                  <w:sz w:val="20"/>
                  <w:u w:val="single"/>
                </w:rPr>
                <w:t>,</w:t>
              </w:r>
            </w:hyperlink>
            <w:hyperlink r:id="rId124">
              <w:r>
                <w:rPr>
                  <w:rStyle w:val="InternetLink"/>
                  <w:rFonts w:ascii="Times New Roman;serif" w:hAnsi="Times New Roman;serif"/>
                  <w:b w:val="false"/>
                  <w:color w:val="000080"/>
                  <w:sz w:val="20"/>
                  <w:u w:val="single"/>
                </w:rPr>
                <w:t xml:space="preserve"> incorporated by reference to E</w:t>
              </w:r>
            </w:hyperlink>
            <w:hyperlink r:id="rId125">
              <w:r>
                <w:rPr>
                  <w:rStyle w:val="InternetLink"/>
                  <w:rFonts w:ascii="Times New Roman;serif" w:hAnsi="Times New Roman;serif"/>
                  <w:b w:val="false"/>
                  <w:color w:val="000080"/>
                  <w:sz w:val="20"/>
                  <w:u w:val="single"/>
                </w:rPr>
                <w:t xml:space="preserve">xhibit 19 of the </w:t>
              </w:r>
            </w:hyperlink>
            <w:hyperlink r:id="rId126">
              <w:r>
                <w:rPr>
                  <w:rStyle w:val="InternetLink"/>
                  <w:rFonts w:ascii="Times New Roman;serif" w:hAnsi="Times New Roman;serif"/>
                  <w:b w:val="false"/>
                  <w:color w:val="000080"/>
                  <w:sz w:val="20"/>
                  <w:u w:val="single"/>
                </w:rPr>
                <w:t>Company</w:t>
              </w:r>
            </w:hyperlink>
            <w:hyperlink r:id="rId127">
              <w:r>
                <w:rPr>
                  <w:rStyle w:val="InternetLink"/>
                  <w:rFonts w:ascii="Times New Roman;serif" w:hAnsi="Times New Roman;serif"/>
                  <w:b w:val="false"/>
                  <w:color w:val="000080"/>
                  <w:sz w:val="20"/>
                  <w:u w:val="single"/>
                </w:rPr>
                <w:t>’</w:t>
              </w:r>
            </w:hyperlink>
            <w:hyperlink r:id="rId128">
              <w:r>
                <w:rPr>
                  <w:rStyle w:val="InternetLink"/>
                  <w:rFonts w:ascii="Times New Roman;serif" w:hAnsi="Times New Roman;serif"/>
                  <w:b w:val="false"/>
                  <w:color w:val="000080"/>
                  <w:sz w:val="20"/>
                  <w:u w:val="single"/>
                </w:rPr>
                <w:t>s Annual Report on Form 10-K for the year ended December 31,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2025-12x3110xk.htm">
              <w:r>
                <w:rPr>
                  <w:rStyle w:val="InternetLink"/>
                  <w:rFonts w:ascii="Times New Roman;serif" w:hAnsi="Times New Roman;serif"/>
                  <w:b w:val="false"/>
                  <w:color w:val="0000FF"/>
                  <w:sz w:val="20"/>
                  <w:u w:val="single"/>
                </w:rPr>
                <w:t>Subsidiaries of RTX Corporation.*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025-12x3110xk.htm">
              <w:r>
                <w:rPr>
                  <w:rStyle w:val="InternetLink"/>
                  <w:rFonts w:ascii="Times New Roman;serif" w:hAnsi="Times New Roman;serif"/>
                  <w:b w:val="false"/>
                  <w:color w:val="0000FF"/>
                  <w:sz w:val="20"/>
                  <w:u w:val="single"/>
                </w:rPr>
                <w:t>Consent of PricewaterhouseCoopers LLP.*</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42025-12x3110xk.htm">
              <w:r>
                <w:rPr>
                  <w:rStyle w:val="InternetLink"/>
                  <w:rFonts w:ascii="Times New Roman;serif" w:hAnsi="Times New Roman;serif"/>
                  <w:b w:val="false"/>
                  <w:color w:val="000080"/>
                  <w:sz w:val="20"/>
                  <w:u w:val="single"/>
                </w:rPr>
                <w:t>Powers of Attorney of Tracy A. Atkinson, Leanne G. Caret, Bernard A. Harris, Jr.,</w:t>
              </w:r>
            </w:hyperlink>
            <w:hyperlink w:anchor="exhibit242025-12x3110xk.htm">
              <w:r>
                <w:rPr>
                  <w:rStyle w:val="InternetLink"/>
                  <w:rFonts w:ascii="Times New Roman;serif" w:hAnsi="Times New Roman;serif"/>
                  <w:b w:val="false"/>
                  <w:color w:val="000080"/>
                  <w:sz w:val="20"/>
                  <w:u w:val="single"/>
                </w:rPr>
                <w:t xml:space="preserve"> George R. Oliver, Ellen M. Pawlikowski, Denise L. Ramos, Fredric G. Reynolds, Brian C. Rogers, James A. Winnefeld, Jr. and Robert O. Work.*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5-12x3110xk.htm">
              <w:r>
                <w:rPr>
                  <w:rStyle w:val="InternetLink"/>
                  <w:rFonts w:ascii="Times New Roman;serif" w:hAnsi="Times New Roman;serif"/>
                  <w:b w:val="false"/>
                  <w:color w:val="0000FF"/>
                  <w:sz w:val="20"/>
                  <w:u w:val="single"/>
                </w:rPr>
                <w:t>Rule 13a-14(a)/15d-14(a) Certification.*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5-12x3110xk.htm">
              <w:r>
                <w:rPr>
                  <w:rStyle w:val="InternetLink"/>
                  <w:rFonts w:ascii="Times New Roman;serif" w:hAnsi="Times New Roman;serif"/>
                  <w:b w:val="false"/>
                  <w:color w:val="0000FF"/>
                  <w:sz w:val="20"/>
                  <w:u w:val="single"/>
                </w:rPr>
                <w:t>Rule 13a-14(a)/15d-14(a) Certification.*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2025-12x3110xk.htm">
              <w:r>
                <w:rPr>
                  <w:rStyle w:val="InternetLink"/>
                  <w:rFonts w:ascii="Times New Roman;serif" w:hAnsi="Times New Roman;serif"/>
                  <w:b w:val="false"/>
                  <w:color w:val="0000FF"/>
                  <w:sz w:val="20"/>
                  <w:u w:val="single"/>
                </w:rPr>
                <w:t>Rule 13a-14(a)/15d-14(a) Certification.*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5-12x3110xk.htm">
              <w:r>
                <w:rPr>
                  <w:rStyle w:val="InternetLink"/>
                  <w:rFonts w:ascii="Times New Roman;serif" w:hAnsi="Times New Roman;serif"/>
                  <w:b w:val="false"/>
                  <w:color w:val="0000FF"/>
                  <w:sz w:val="20"/>
                  <w:u w:val="single"/>
                </w:rPr>
                <w:t>Section 1350 Certifications.*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erif" w:hAnsi="Times New Roman;serif"/>
                  <w:b w:val="false"/>
                  <w:color w:val="0000FF"/>
                  <w:sz w:val="20"/>
                  <w:u w:val="single"/>
                </w:rPr>
                <w:t xml:space="preserve">RTX Corporation Executive Officer Clawback Policy, effective as of October 2, 2023, incorporated by reference to Exhibit 97 of RTX Corporation’s Annual Report on Form 10-K for the year ended December 31, 2023.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0">
              <w:r>
                <w:rPr>
                  <w:rStyle w:val="InternetLink"/>
                  <w:rFonts w:ascii="Times New Roman;serif" w:hAnsi="Times New Roman;serif"/>
                  <w:b w:val="false"/>
                  <w:color w:val="0000FF"/>
                  <w:sz w:val="20"/>
                  <w:u w:val="single"/>
                </w:rPr>
                <w:t>Consent Agreement between RTX Corporation and the U.S. Department of State dated August 29, 2024, incorporated by reference to Exhibit 99.1 of the Company’s Current Report on Form 8-K filed with the SEC on August 30,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Times New Roman;serif" w:hAnsi="Times New Roman;serif"/>
                  <w:b w:val="false"/>
                  <w:color w:val="0000FF"/>
                  <w:sz w:val="20"/>
                  <w:u w:val="single"/>
                </w:rPr>
                <w:t>Deferred Prosecution Agreement between Raytheon Company and the U.S. Department of Justice dated October 15, 2024, incorporated by reference to Exhibit 99.1 of the Company’s Current Report on Form 8-K filed with the SEC on October 16,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Times New Roman;serif" w:hAnsi="Times New Roman;serif"/>
                  <w:b w:val="false"/>
                  <w:color w:val="0000FF"/>
                  <w:sz w:val="20"/>
                  <w:u w:val="single"/>
                </w:rPr>
                <w:t>Deferred Prosecution Agreement between Raytheon Company and the U.S. Department of Justice dated October 16, 2024, incorporated by reference to Exhibit 99.2 of the Company’s Current Report on Form 8-K filed with the SEC on October 16,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erif" w:hAnsi="Times New Roman;serif"/>
                  <w:b w:val="false"/>
                  <w:color w:val="0000FF"/>
                  <w:sz w:val="20"/>
                  <w:u w:val="single"/>
                </w:rPr>
                <w:t>Settlement Agreement between Raytheon Company and the U.S. Department of Justice dated October 16, 2024, incorporated by reference to Exhibit 99.3 of the Company’s Current Report on Form 8-K filed with the SEC on October 16,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Times New Roman;serif" w:hAnsi="Times New Roman;serif"/>
                  <w:b w:val="false"/>
                  <w:color w:val="0000FF"/>
                  <w:sz w:val="20"/>
                  <w:u w:val="single"/>
                </w:rPr>
                <w:t>Securities and Exchange Commission Administrative Order dated October16, 2024, incorporated by reference to Exhibit 99.4 of the Company’s Current Report on Form 8-K filed with the SEC on October 16,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eXtensible Business Reporting Language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121</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5"/>
        <w:gridCol w:w="237"/>
        <w:gridCol w:w="3077"/>
        <w:gridCol w:w="2999"/>
        <w:gridCol w:w="3009"/>
        <w:gridCol w:w="109"/>
        <w:gridCol w:w="109"/>
        <w:gridCol w:w="158"/>
      </w:tblGrid>
      <w:tr>
        <w:trPr/>
        <w:tc>
          <w:tcPr>
            <w:tcW w:w="2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December 31, 2025, formatted in Inline 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90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(Exhibits marked with an asterisk (*) are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3"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794" w:type="dxa"/>
        <w:jc w:val="left"/>
        <w:tblInd w:w="0" w:type="dxa"/>
        <w:tblLayout w:type="fixed"/>
        <w:tblCellMar>
          <w:top w:w="28" w:type="dxa"/>
          <w:left w:w="28" w:type="dxa"/>
          <w:bottom w:w="28" w:type="dxa"/>
          <w:right w:w="28" w:type="dxa"/>
        </w:tblCellMar>
      </w:tblPr>
      <w:tblGrid>
        <w:gridCol w:w="238"/>
        <w:gridCol w:w="210"/>
        <w:gridCol w:w="212"/>
        <w:gridCol w:w="494"/>
        <w:gridCol w:w="494"/>
        <w:gridCol w:w="496"/>
        <w:gridCol w:w="320"/>
        <w:gridCol w:w="320"/>
        <w:gridCol w:w="320"/>
        <w:gridCol w:w="1949"/>
        <w:gridCol w:w="1949"/>
        <w:gridCol w:w="279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4"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v:textbox>
                <w10:wrap type="none"/>
              </v:rect>
            </w:pict>
          </mc:Fallback>
        </mc:AlternateContent>
      </w:r>
    </w:p>
    <w:p>
      <w:pPr>
        <w:pStyle w:val="TextBody"/>
        <w:bidi w:val="0"/>
        <w:spacing w:lineRule="auto" w:line="288" w:before="0" w:after="0"/>
        <w:jc w:val="left"/>
        <w:rPr/>
      </w:pPr>
      <w:hyperlink w:anchor="i998617ed510543f5986a36f83c767f0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10205" w:type="dxa"/>
        <w:jc w:val="left"/>
        <w:tblInd w:w="0" w:type="dxa"/>
        <w:tblLayout w:type="fixed"/>
        <w:tblCellMar>
          <w:top w:w="28" w:type="dxa"/>
          <w:left w:w="28" w:type="dxa"/>
          <w:bottom w:w="28" w:type="dxa"/>
          <w:right w:w="28" w:type="dxa"/>
        </w:tblCellMar>
      </w:tblPr>
      <w:tblGrid>
        <w:gridCol w:w="1014"/>
        <w:gridCol w:w="778"/>
        <w:gridCol w:w="781"/>
        <w:gridCol w:w="109"/>
        <w:gridCol w:w="109"/>
        <w:gridCol w:w="109"/>
        <w:gridCol w:w="1869"/>
        <w:gridCol w:w="1842"/>
        <w:gridCol w:w="1866"/>
        <w:gridCol w:w="109"/>
        <w:gridCol w:w="109"/>
        <w:gridCol w:w="109"/>
        <w:gridCol w:w="407"/>
        <w:gridCol w:w="407"/>
        <w:gridCol w:w="587"/>
      </w:tblGrid>
      <w:tr>
        <w:trPr/>
        <w:tc>
          <w:tcPr>
            <w:tcW w:w="10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r>
      <w:tr>
        <w:trPr/>
        <w:tc>
          <w:tcPr>
            <w:tcW w:w="2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T. CALIO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(Christopher T. Calio)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NEIL G. MITCHILL,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(Neil G. Mitchill,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AMY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Controller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ATKINSON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(Tracy A. Atkinson)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LEANNE G. CARET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(Leanne G. Caret)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BERNARD A. HARRIS,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(Bernard A. Harris,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GEORGE R. OLIVER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(George R. Oliver)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ELLEN M. PAWLIKOWSKI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(Ellen M. Pawlikowski)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DENISE L. RAMOS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(Denise L. Ramos)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FREDRIC G. REYNOLDS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(Fredric G.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C. ROGERS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C.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A. WINNEFELD, JR.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A. Winnefeld,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O. WORK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(Robert O. 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19" w:type="dxa"/>
        <w:jc w:val="left"/>
        <w:tblInd w:w="0" w:type="dxa"/>
        <w:tblLayout w:type="fixed"/>
        <w:tblCellMar>
          <w:top w:w="28" w:type="dxa"/>
          <w:left w:w="28" w:type="dxa"/>
          <w:bottom w:w="28" w:type="dxa"/>
          <w:right w:w="28" w:type="dxa"/>
        </w:tblCellMar>
      </w:tblPr>
      <w:tblGrid>
        <w:gridCol w:w="189"/>
        <w:gridCol w:w="167"/>
        <w:gridCol w:w="169"/>
        <w:gridCol w:w="1022"/>
        <w:gridCol w:w="1022"/>
        <w:gridCol w:w="1450"/>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RAMSARAN MAHARAJH, JR.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Ramsaran Maharajh, Jr.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Executive Vice President and General Counsel</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5"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10.59</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RTX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LONG-TERM INCENTIVE PLAN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AMENDMENT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RTX Corporation Long-Term Incentive Plan, as Amended and Restated as of May 2, 2024 (the “LTIP”) is hereby further amended, effective October 29, 2025, for purposes of implementing the following non-material administrative revision:</w:t>
      </w:r>
    </w:p>
    <w:p>
      <w:pPr>
        <w:pStyle w:val="TextBody"/>
        <w:bidi w:val="0"/>
        <w:spacing w:lineRule="atLeast"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1.Section 1 (Purpose; Definitions), subsection “h” is amended and restated to read as follows: </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h. “Cause” means, unless otherwise provided in an Award Agreement: (i) conduct resulting in a felony criminal conviction under U.S. federal or state law or an equivalent conviction under the laws of any other country or province, or conduct meeting the elements of the same as determined by the Corporation; (ii) dishonesty, fraud, self-dealing or material violations of civil law in the course of fulfilling the Participant’s employment duties, including but not limited to violations of any anti-fraud laws such as the Truthful Cost or Pricing Data Statute (FKA Truth in Negotiations Act or “TINA”) and the Foreign Corrupt Practices Act (FCPA) or equivalent civil laws of any other country, as determined by the Corporation; (iii) breach of the Participant’s intellectual property agreement or other written agreement between the Corporation or an Affiliate and Participant, as determined by the Corporation; (iv) such other actions or omissions that constitute willful misconduct, willful failure to perform, or gross negligence in the performance of reasonable duties of employment, as determined by the Corporation; (v) negligent supervision of a subordinate who causes significant harm to the Corporation and/or an Affiliate, as determined by the Corporation; (vi) material violation of the Corporation’s Code of Conduct or other company policy which may be injurious to the Corporation and/or an Affiliate, and/or which may render Participant’s employment untenable as determined by the Corporation; or (vii) prior to a Change-in-Control, such other events as shall be determined by the Committee. Notwithstanding the general rule of Section 2(c), following a Change-in-Control, any determination by the Committee as to whether “Cause” exists shall be subject to de novo review. </w:t>
      </w:r>
    </w:p>
    <w:p>
      <w:pPr>
        <w:pStyle w:val="TextBody"/>
        <w:bidi w:val="0"/>
        <w:spacing w:lineRule="auto" w:line="556" w:before="0" w:after="48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hereunto set her hand as of October 29, 2025.</w:t>
      </w:r>
    </w:p>
    <w:p>
      <w:pPr>
        <w:pStyle w:val="TextBody"/>
        <w:bidi w:val="0"/>
        <w:spacing w:lineRule="auto" w:line="556" w:before="0" w:after="480"/>
        <w:ind w:left="0" w:right="0" w:firstLine="720"/>
        <w:jc w:val="left"/>
        <w:rPr>
          <w:rFonts w:ascii="Times New Roman;serif" w:hAnsi="Times New Roman;serif"/>
          <w:b/>
          <w:color w:val="000000"/>
          <w:sz w:val="22"/>
        </w:rPr>
      </w:pPr>
      <w:r>
        <w:rPr>
          <w:rFonts w:ascii="Times New Roman;serif" w:hAnsi="Times New Roman;serif"/>
          <w:b/>
          <w:color w:val="000000"/>
          <w:sz w:val="22"/>
        </w:rPr>
        <w:t>RTX CORPORATION</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Dantaya M. Williams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Dantaya M. Williams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Executive Vice President &amp; CHRO</w:t>
      </w:r>
    </w:p>
    <w:p>
      <w:pPr>
        <w:pStyle w:val="TextBody"/>
        <w:bidi w:val="0"/>
        <w:spacing w:lineRule="auto" w:line="288" w:before="0" w:after="0"/>
        <w:jc w:val="left"/>
        <w:rPr/>
      </w:pPr>
      <w:r>
        <w:rPr>
          <w:rFonts w:ascii="Times New Roman;serif" w:hAnsi="Times New Roman;serif"/>
          <w:b w:val="false"/>
          <w:color w:val="000000"/>
          <w:sz w:val="22"/>
        </w:rPr>
        <w:t xml:space="preserve">Attest: </w:t>
      </w:r>
      <w:r>
        <w:rPr>
          <w:rFonts w:ascii="Times New Roman;serif" w:hAnsi="Times New Roman;serif"/>
          <w:b w:val="false"/>
          <w:color w:val="000000"/>
          <w:sz w:val="22"/>
          <w:u w:val="single"/>
        </w:rPr>
        <w:t>/s/ Christine L. Hill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Christine L. Hill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&amp; Associate General Counsel,</w:t>
        <w:br/>
        <w:t>Executive &amp; Global Compensation &amp; Benefits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94995"/>
                <wp:effectExtent l="0" t="0" r="0" b="0"/>
                <wp:wrapNone/>
                <wp:docPr id="126" name="Frame1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37.8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3"/>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014"/>
        <w:gridCol w:w="2628"/>
        <w:gridCol w:w="2641"/>
        <w:gridCol w:w="561"/>
        <w:gridCol w:w="561"/>
        <w:gridCol w:w="800"/>
      </w:tblGrid>
      <w:tr>
        <w:trPr/>
        <w:tc>
          <w:tcPr>
            <w:tcW w:w="3014"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 and Affiliate Listing</w:t>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Entity Name</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Place of Incorporation</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ARINC Incorporated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 Aerospace B.V.</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 Aerospace,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 Aerospace (UK) Limited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Goodrich Aerospace Canada Ltd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Goodrich Control Systems</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Goodrich Corporation</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Hamilton Sundstrand Corporation</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Hamilton Sundstrand Poland Sp. z o.o.</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 Marston Aerospace Ltd.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IAE International Aero Engines AG</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Aero Engines, LLC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Kidde Technologies Inc. *</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Aero Engines International GmbH</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Canada (SEA) Pte Ltd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Canada Corp.</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Canada Distribution USA, LLC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Canada Leasing, Limited Partnership</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Québec</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Component Solutions,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Engine Services,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Materials International Sàrl</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PurePower Engine Canada Distribution Corp./Distribution Canada Pratt &amp; Whitney Moteur PurePower Cie</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 THY Teknik Ucak Motoru Bakim Merkezi Limited Sirketi</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PW1100G-JM Engine Leasing, LLC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Ratier-Figeac SAS</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 Australia Pty Ltd.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 Company</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 Systems Limited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Rockwell Collins France S.A.S</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Rockwell Collins,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Rohr,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Rosemount Aerospace Inc.</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8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Pratt &amp; Whitney Aircraft Engine Maintenance Company Limited</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828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Kidde Technologies Inc. also conducts business as Kidde Aerospace &amp; Defense, Fenwal Safety Systems and Kidde Dual Spectrum.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subsidiaries of the Registrant have been omitted from this listing since, considered in the aggregate as a single subsidiary, they would not constitute a significant subsidiary, as defined by Rule 1-02 of Regulation S-K.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We hereby consent to the </w:t>
      </w:r>
      <w:r>
        <w:rPr>
          <w:rFonts w:ascii="Times New Roman;serif" w:hAnsi="Times New Roman;serif"/>
          <w:b w:val="false"/>
          <w:color w:val="000000"/>
          <w:sz w:val="20"/>
          <w:shd w:fill="FFFFFF" w:val="clear"/>
        </w:rPr>
        <w:t xml:space="preserve">incorporation by reference in the Registration Statement on Form S-3 (No. </w:t>
      </w:r>
      <w:r>
        <w:rPr>
          <w:rFonts w:ascii="Times New Roman;serif" w:hAnsi="Times New Roman;serif"/>
          <w:b w:val="false"/>
          <w:color w:val="000000"/>
          <w:sz w:val="20"/>
        </w:rPr>
        <w:t>333-290364</w:t>
      </w:r>
      <w:r>
        <w:rPr>
          <w:rFonts w:ascii="Times New Roman;serif" w:hAnsi="Times New Roman;serif"/>
          <w:b w:val="false"/>
          <w:color w:val="000000"/>
          <w:sz w:val="20"/>
          <w:shd w:fill="FFFFFF" w:val="clear"/>
        </w:rPr>
        <w:t>) and in the Registration Statements on Form S-8 (</w:t>
      </w:r>
      <w:r>
        <w:rPr>
          <w:rFonts w:ascii="Times New Roman;serif" w:hAnsi="Times New Roman;serif"/>
          <w:b w:val="false"/>
          <w:color w:val="000000"/>
          <w:sz w:val="20"/>
        </w:rPr>
        <w:t>Nos. 333-273420, 333-273414, 333-234085, 333-228649, 333-225839, 333-197704, 333-175781, 333-150643, 333-125293, 333-110020, and 333-100724</w:t>
      </w:r>
      <w:r>
        <w:rPr>
          <w:rFonts w:ascii="Times New Roman;serif" w:hAnsi="Times New Roman;serif"/>
          <w:b w:val="false"/>
          <w:color w:val="000000"/>
          <w:sz w:val="20"/>
          <w:shd w:fill="FFFFFF" w:val="clear"/>
        </w:rPr>
        <w:t>) of RTX Corporation of our report dated February 6,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this 6th day of February, 2026.</w:t>
      </w:r>
    </w:p>
    <w:tbl>
      <w:tblPr>
        <w:tblW w:w="2292" w:type="dxa"/>
        <w:jc w:val="left"/>
        <w:tblInd w:w="0" w:type="dxa"/>
        <w:tblLayout w:type="fixed"/>
        <w:tblCellMar>
          <w:top w:w="28" w:type="dxa"/>
          <w:left w:w="28" w:type="dxa"/>
          <w:bottom w:w="28" w:type="dxa"/>
          <w:right w:w="28" w:type="dxa"/>
        </w:tblCellMar>
      </w:tblPr>
      <w:tblGrid>
        <w:gridCol w:w="397"/>
        <w:gridCol w:w="348"/>
        <w:gridCol w:w="348"/>
        <w:gridCol w:w="348"/>
        <w:gridCol w:w="348"/>
        <w:gridCol w:w="503"/>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TRACY A. ATKINSON</w:t>
            </w:r>
          </w:p>
        </w:tc>
      </w:tr>
      <w:tr>
        <w:trPr/>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A. Atkinson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085" w:type="dxa"/>
        <w:jc w:val="left"/>
        <w:tblInd w:w="0" w:type="dxa"/>
        <w:tblLayout w:type="fixed"/>
        <w:tblCellMar>
          <w:top w:w="28" w:type="dxa"/>
          <w:left w:w="28" w:type="dxa"/>
          <w:bottom w:w="28" w:type="dxa"/>
          <w:right w:w="28" w:type="dxa"/>
        </w:tblCellMar>
      </w:tblPr>
      <w:tblGrid>
        <w:gridCol w:w="666"/>
        <w:gridCol w:w="586"/>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LEANNE G. CARET</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Leanne G. Caret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655" w:type="dxa"/>
        <w:jc w:val="left"/>
        <w:tblInd w:w="0" w:type="dxa"/>
        <w:tblLayout w:type="fixed"/>
        <w:tblCellMar>
          <w:top w:w="28" w:type="dxa"/>
          <w:left w:w="28" w:type="dxa"/>
          <w:bottom w:w="28" w:type="dxa"/>
          <w:right w:w="28" w:type="dxa"/>
        </w:tblCellMar>
      </w:tblPr>
      <w:tblGrid>
        <w:gridCol w:w="461"/>
        <w:gridCol w:w="403"/>
        <w:gridCol w:w="403"/>
        <w:gridCol w:w="403"/>
        <w:gridCol w:w="403"/>
        <w:gridCol w:w="582"/>
      </w:tblGrid>
      <w:tr>
        <w:trPr/>
        <w:tc>
          <w:tcPr>
            <w:tcW w:w="4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65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A. HARRIS, JR.</w:t>
            </w:r>
          </w:p>
        </w:tc>
      </w:tr>
      <w:tr>
        <w:trPr/>
        <w:tc>
          <w:tcPr>
            <w:tcW w:w="265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A. Harris, Jr.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159" w:type="dxa"/>
        <w:jc w:val="left"/>
        <w:tblInd w:w="0" w:type="dxa"/>
        <w:tblLayout w:type="fixed"/>
        <w:tblCellMar>
          <w:top w:w="28" w:type="dxa"/>
          <w:left w:w="28" w:type="dxa"/>
          <w:bottom w:w="28" w:type="dxa"/>
          <w:right w:w="28" w:type="dxa"/>
        </w:tblCellMar>
      </w:tblPr>
      <w:tblGrid>
        <w:gridCol w:w="692"/>
        <w:gridCol w:w="607"/>
        <w:gridCol w:w="860"/>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R. OLIVER</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R. Oliver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684" w:type="dxa"/>
        <w:jc w:val="left"/>
        <w:tblInd w:w="0" w:type="dxa"/>
        <w:tblLayout w:type="fixed"/>
        <w:tblCellMar>
          <w:top w:w="28" w:type="dxa"/>
          <w:left w:w="28" w:type="dxa"/>
          <w:bottom w:w="28" w:type="dxa"/>
          <w:right w:w="28" w:type="dxa"/>
        </w:tblCellMar>
      </w:tblPr>
      <w:tblGrid>
        <w:gridCol w:w="859"/>
        <w:gridCol w:w="754"/>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ELLEN M. PAWLIKOWSKI</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Ellen M. Pawlikowski</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025" w:type="dxa"/>
        <w:jc w:val="left"/>
        <w:tblInd w:w="0" w:type="dxa"/>
        <w:tblLayout w:type="fixed"/>
        <w:tblCellMar>
          <w:top w:w="28" w:type="dxa"/>
          <w:left w:w="28" w:type="dxa"/>
          <w:bottom w:w="28" w:type="dxa"/>
          <w:right w:w="28" w:type="dxa"/>
        </w:tblCellMar>
      </w:tblPr>
      <w:tblGrid>
        <w:gridCol w:w="648"/>
        <w:gridCol w:w="570"/>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DENISE L. RAMOS</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Denise L. Ramos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519" w:type="dxa"/>
        <w:jc w:val="left"/>
        <w:tblInd w:w="0" w:type="dxa"/>
        <w:tblLayout w:type="fixed"/>
        <w:tblCellMar>
          <w:top w:w="28" w:type="dxa"/>
          <w:left w:w="28" w:type="dxa"/>
          <w:bottom w:w="28" w:type="dxa"/>
          <w:right w:w="28" w:type="dxa"/>
        </w:tblCellMar>
      </w:tblPr>
      <w:tblGrid>
        <w:gridCol w:w="807"/>
        <w:gridCol w:w="709"/>
        <w:gridCol w:w="1003"/>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FREDRIC G. REYNOLDS</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Fredric G. Reynolds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040" w:type="dxa"/>
        <w:jc w:val="left"/>
        <w:tblInd w:w="0" w:type="dxa"/>
        <w:tblLayout w:type="fixed"/>
        <w:tblCellMar>
          <w:top w:w="28" w:type="dxa"/>
          <w:left w:w="28" w:type="dxa"/>
          <w:bottom w:w="28" w:type="dxa"/>
          <w:right w:w="28" w:type="dxa"/>
        </w:tblCellMar>
      </w:tblPr>
      <w:tblGrid>
        <w:gridCol w:w="653"/>
        <w:gridCol w:w="574"/>
        <w:gridCol w:w="813"/>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C. ROGERS</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C. Rogers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745" w:type="dxa"/>
        <w:jc w:val="left"/>
        <w:tblInd w:w="0" w:type="dxa"/>
        <w:tblLayout w:type="fixed"/>
        <w:tblCellMar>
          <w:top w:w="28" w:type="dxa"/>
          <w:left w:w="28" w:type="dxa"/>
          <w:bottom w:w="28" w:type="dxa"/>
          <w:right w:w="28" w:type="dxa"/>
        </w:tblCellMar>
      </w:tblPr>
      <w:tblGrid>
        <w:gridCol w:w="879"/>
        <w:gridCol w:w="773"/>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A. WINNEFELD, JR.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A. Winnefeld, Jr.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Power of Attorney to be executed this 6th day of February, 2026. </w:t>
      </w:r>
    </w:p>
    <w:tbl>
      <w:tblPr>
        <w:tblW w:w="2040" w:type="dxa"/>
        <w:jc w:val="left"/>
        <w:tblInd w:w="0" w:type="dxa"/>
        <w:tblLayout w:type="fixed"/>
        <w:tblCellMar>
          <w:top w:w="28" w:type="dxa"/>
          <w:left w:w="28" w:type="dxa"/>
          <w:bottom w:w="28" w:type="dxa"/>
          <w:right w:w="28" w:type="dxa"/>
        </w:tblCellMar>
      </w:tblPr>
      <w:tblGrid>
        <w:gridCol w:w="652"/>
        <w:gridCol w:w="573"/>
        <w:gridCol w:w="81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O. WORK</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O. Work</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Christopher T. Calio,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621"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Neil G. Mitchill, Jr.,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6806"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Amy L. Johnson,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486"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912"/>
        <w:gridCol w:w="912"/>
        <w:gridCol w:w="12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180" w:after="120"/>
        <w:ind w:left="0" w:right="0" w:firstLine="495"/>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RTX Corporation, a Delaware corporation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does hereby certify that: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Annual Report on Form 10-K for the year ended December 31, 2025 (the “</w:t>
      </w:r>
      <w:r>
        <w:rPr>
          <w:rFonts w:ascii="Times New Roman;serif" w:hAnsi="Times New Roman;serif"/>
          <w:b w:val="false"/>
          <w:color w:val="000000"/>
          <w:sz w:val="20"/>
          <w:u w:val="single"/>
        </w:rPr>
        <w:t>Form 10-K</w:t>
      </w:r>
      <w:r>
        <w:rPr>
          <w:color w:val="000000"/>
        </w:rPr>
        <w:t>”</w:t>
      </w:r>
      <w:r>
        <w:rPr>
          <w:rFonts w:ascii="Times New Roman;serif" w:hAnsi="Times New Roman;serif"/>
          <w:b w:val="false"/>
          <w:color w:val="000000"/>
          <w:sz w:val="20"/>
        </w:rPr>
        <w:t>) of the Corporation fully complies with the requirements of section 13(a) or 15(d) of the Securities Exchange Act of 1934, as amended, and information contained in the Form 10-K fairly presents, in all material respects, the financial condition and results of operations of the Corporation as of and for the periods presented in the Form 10-K.</w:t>
      </w:r>
    </w:p>
    <w:p>
      <w:pPr>
        <w:pStyle w:val="TextBody"/>
        <w:bidi w:val="0"/>
        <w:spacing w:before="120" w:after="283"/>
        <w:ind w:left="0" w:right="0" w:firstLine="495"/>
        <w:jc w:val="left"/>
        <w:rPr/>
      </w:pPr>
      <w:r>
        <w:rPr/>
      </w:r>
    </w:p>
    <w:tbl>
      <w:tblPr>
        <w:tblW w:w="6478"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829/000114036120008397/nc10010681x2_ex2-1.htm" TargetMode="External"/><Relationship Id="rId4" Type="http://schemas.openxmlformats.org/officeDocument/2006/relationships/hyperlink" Target="https://www.sec.gov/Archives/edgar/data/101829/000089882223000021/certofinc.htm" TargetMode="External"/><Relationship Id="rId5" Type="http://schemas.openxmlformats.org/officeDocument/2006/relationships/hyperlink" Target="https://www.sec.gov/Archives/edgar/data/101829/000119312523187728/d708798dex31.htm" TargetMode="External"/><Relationship Id="rId6" Type="http://schemas.openxmlformats.org/officeDocument/2006/relationships/hyperlink" Target="https://www.sec.gov/Archives/edgar/data/101829/000119312523187728/d708798dex32.htm" TargetMode="External"/><Relationship Id="rId7" Type="http://schemas.openxmlformats.org/officeDocument/2006/relationships/hyperlink" Target="https://www.sec.gov/Archives/edgar/data/101829/000095013001501267/dex4a.txt" TargetMode="External"/><Relationship Id="rId8" Type="http://schemas.openxmlformats.org/officeDocument/2006/relationships/hyperlink" Target="https://www.sec.gov/Archives/edgar/data/101829/000010182921000008/exhibit422020-12x3110xk.htm" TargetMode="External"/><Relationship Id="rId9" Type="http://schemas.openxmlformats.org/officeDocument/2006/relationships/hyperlink" Target="https://www.sec.gov/Archives/edgar/data/101829/000010182921000008/exhibit1022020-12x3110xk.htm" TargetMode="External"/><Relationship Id="rId10" Type="http://schemas.openxmlformats.org/officeDocument/2006/relationships/hyperlink" Target="https://www.sec.gov/Archives/edgar/data/101829/000010182918000027/a2018-06x3010xqexhibit101.htm" TargetMode="External"/><Relationship Id="rId11" Type="http://schemas.openxmlformats.org/officeDocument/2006/relationships/hyperlink" Target="https://www.sec.gov/Archives/edgar/data/101829/000010182913000045/a2013-09x3010xqexhibit1011.htm" TargetMode="External"/><Relationship Id="rId12" Type="http://schemas.openxmlformats.org/officeDocument/2006/relationships/hyperlink" Target="https://www.sec.gov/Archives/edgar/data/101829/000010182920000013/a2019-12x3110xkexhibit11.htm" TargetMode="External"/><Relationship Id="rId13" Type="http://schemas.openxmlformats.org/officeDocument/2006/relationships/hyperlink" Target="https://www.sec.gov/Archives/edgar/data/101829/000010182920000013/a2019-12x3110xkexhibit11.htm" TargetMode="External"/><Relationship Id="rId14" Type="http://schemas.openxmlformats.org/officeDocument/2006/relationships/hyperlink" Target="https://www.sec.gov/Archives/edgar/data/101829/000010182920000013/a2019-12x3110xkexhibit11.htm" TargetMode="External"/><Relationship Id="rId15" Type="http://schemas.openxmlformats.org/officeDocument/2006/relationships/hyperlink" Target="https://www.sec.gov/Archives/edgar/data/101829/000010182920000013/a2019-12x3110xkexhibit11.htm" TargetMode="External"/><Relationship Id="rId16" Type="http://schemas.openxmlformats.org/officeDocument/2006/relationships/hyperlink" Target="https://www.sec.gov/Archives/edgar/data/101829/000010182920000013/a2019-12x3110xkexhibit11.htm" TargetMode="External"/><Relationship Id="rId17" Type="http://schemas.openxmlformats.org/officeDocument/2006/relationships/hyperlink" Target="https://www.sec.gov/Archives/edgar/data/101829/000010182920000013/a2019-12x3110xkexhibit11.htm" TargetMode="External"/><Relationship Id="rId18" Type="http://schemas.openxmlformats.org/officeDocument/2006/relationships/hyperlink" Target="https://www.sec.gov/Archives/edgar/data/101829/000010182920000013/a2019-12x3110xkexhibit11.htm" TargetMode="External"/><Relationship Id="rId19" Type="http://schemas.openxmlformats.org/officeDocument/2006/relationships/hyperlink" Target="https://www.sec.gov/Archives/edgar/data/101829/000010182920000013/a2019-12x3110xkexhibit11.htm" TargetMode="External"/><Relationship Id="rId20" Type="http://schemas.openxmlformats.org/officeDocument/2006/relationships/hyperlink" Target="https://www.sec.gov/Archives/edgar/data/101829/000010182921000008/exhibit1052020-12x3110xk.htm" TargetMode="External"/><Relationship Id="rId21" Type="http://schemas.openxmlformats.org/officeDocument/2006/relationships/hyperlink" Target="https://www.sec.gov/Archives/edgar/data/101829/000010182921000008/exhibit1052020-12x3110xk.htm" TargetMode="External"/><Relationship Id="rId22" Type="http://schemas.openxmlformats.org/officeDocument/2006/relationships/hyperlink" Target="https://www.sec.gov/Archives/edgar/data/101829/000010182913000045/a2013-09x3010xqexhibit1012.htm" TargetMode="External"/><Relationship Id="rId23" Type="http://schemas.openxmlformats.org/officeDocument/2006/relationships/hyperlink" Target="https://www.sec.gov/Archives/edgar/data/101829/000010182913000045/a2013-09x3010xqexhibit1012.htm" TargetMode="External"/><Relationship Id="rId24" Type="http://schemas.openxmlformats.org/officeDocument/2006/relationships/hyperlink" Target="https://www.sec.gov/Archives/edgar/data/101829/000010182913000045/a2013-09x3010xqexhibit1012.htm" TargetMode="External"/><Relationship Id="rId25" Type="http://schemas.openxmlformats.org/officeDocument/2006/relationships/hyperlink" Target="https://www.sec.gov/Archives/edgar/data/101829/000010182920000013/a2019-12x3110xkexhibit6.htm" TargetMode="External"/><Relationship Id="rId26" Type="http://schemas.openxmlformats.org/officeDocument/2006/relationships/hyperlink" Target="https://www.sec.gov/Archives/edgar/data/101829/000010182920000013/a2019-12x3110xkexhibit6.htm" TargetMode="External"/><Relationship Id="rId27" Type="http://schemas.openxmlformats.org/officeDocument/2006/relationships/hyperlink" Target="https://www.sec.gov/Archives/edgar/data/101829/000010182920000013/a2019-12x3110xkexhibit6.htm" TargetMode="External"/><Relationship Id="rId28" Type="http://schemas.openxmlformats.org/officeDocument/2006/relationships/hyperlink" Target="https://www.sec.gov/Archives/edgar/data/101829/000010182913000045/a2013-09x3010xqexhibit1013.htm" TargetMode="External"/><Relationship Id="rId29" Type="http://schemas.openxmlformats.org/officeDocument/2006/relationships/hyperlink" Target="https://www.sec.gov/Archives/edgar/data/101829/000010182913000045/a2013-09x3010xqexhibit1013.htm" TargetMode="External"/><Relationship Id="rId30" Type="http://schemas.openxmlformats.org/officeDocument/2006/relationships/hyperlink" Target="https://www.sec.gov/Archives/edgar/data/101829/000010182913000045/a2013-09x3010xqexhibit1013.htm" TargetMode="External"/><Relationship Id="rId31" Type="http://schemas.openxmlformats.org/officeDocument/2006/relationships/hyperlink" Target="https://www.sec.gov/Archives/edgar/data/101829/000010182920000013/a2019-12x3110xkexhibit2.htm" TargetMode="External"/><Relationship Id="rId32" Type="http://schemas.openxmlformats.org/officeDocument/2006/relationships/hyperlink" Target="https://www.sec.gov/Archives/edgar/data/101829/000010182920000013/a2019-12x3110xkexhibit2.htm" TargetMode="External"/><Relationship Id="rId33" Type="http://schemas.openxmlformats.org/officeDocument/2006/relationships/hyperlink" Target="https://www.sec.gov/Archives/edgar/data/101829/000010182920000013/a2019-12x3110xkexhibit2.htm" TargetMode="External"/><Relationship Id="rId34" Type="http://schemas.openxmlformats.org/officeDocument/2006/relationships/hyperlink" Target="https://www.sec.gov/Archives/edgar/data/101829/000010182919000007/a2018-12x3110xkexhibit108.htm" TargetMode="External"/><Relationship Id="rId35" Type="http://schemas.openxmlformats.org/officeDocument/2006/relationships/hyperlink" Target="https://www.sec.gov/Archives/edgar/data/101829/000010182919000007/a2018-12x3110xkexhibit109.htm" TargetMode="External"/><Relationship Id="rId36" Type="http://schemas.openxmlformats.org/officeDocument/2006/relationships/hyperlink" Target="https://www.sec.gov/Archives/edgar/data/101829/000010182919000007/a2018-12x3110xkexhibit109.htm" TargetMode="External"/><Relationship Id="rId37" Type="http://schemas.openxmlformats.org/officeDocument/2006/relationships/hyperlink" Target="https://www.sec.gov/Archives/edgar/data/101829/000010182919000007/a2018-12x3110xkexhibit109.htm" TargetMode="External"/><Relationship Id="rId38" Type="http://schemas.openxmlformats.org/officeDocument/2006/relationships/hyperlink" Target="https://www.sec.gov/Archives/edgar/data/101829/000010182919000007/a2018-12x3110xkexhibit1010.htm" TargetMode="External"/><Relationship Id="rId39" Type="http://schemas.openxmlformats.org/officeDocument/2006/relationships/hyperlink" Target="https://www.sec.gov/Archives/edgar/data/101829/000010182919000007/a2018-12x3110xkexhibit1010.htm" TargetMode="External"/><Relationship Id="rId40" Type="http://schemas.openxmlformats.org/officeDocument/2006/relationships/hyperlink" Target="https://www.sec.gov/Archives/edgar/data/101829/000010182919000007/a2018-12x3110xkexhibit1010.htm" TargetMode="External"/><Relationship Id="rId41" Type="http://schemas.openxmlformats.org/officeDocument/2006/relationships/hyperlink" Target="https://www.sec.gov/Archives/edgar/data/101829/000010182914000018/exhibit101-01.htm" TargetMode="External"/><Relationship Id="rId42" Type="http://schemas.openxmlformats.org/officeDocument/2006/relationships/hyperlink" Target="https://www.sec.gov/Archives/edgar/data/101829/000010182916000050/a2015-12x3110xkexhibit1012.htm" TargetMode="External"/><Relationship Id="rId43" Type="http://schemas.openxmlformats.org/officeDocument/2006/relationships/hyperlink" Target="https://www.sec.gov/Archives/edgar/data/101829/000010182916000050/a2015-12x3110xkexhibit1015.htm" TargetMode="External"/><Relationship Id="rId44" Type="http://schemas.openxmlformats.org/officeDocument/2006/relationships/hyperlink" Target="https://www.sec.gov/Archives/edgar/data/101829/000010182916000050/a2015-12x3110xkexhibit1015.htm" TargetMode="External"/><Relationship Id="rId45" Type="http://schemas.openxmlformats.org/officeDocument/2006/relationships/hyperlink" Target="https://www.sec.gov/Archives/edgar/data/101829/000010182916000050/a2015-12x3110xkexhibit1015.htm" TargetMode="External"/><Relationship Id="rId46" Type="http://schemas.openxmlformats.org/officeDocument/2006/relationships/hyperlink" Target="https://www.sec.gov/Archives/edgar/data/101829/000010182917000007/a2016-12x3110xkexhibit1015.htm" TargetMode="External"/><Relationship Id="rId47" Type="http://schemas.openxmlformats.org/officeDocument/2006/relationships/hyperlink" Target="https://www.sec.gov/Archives/edgar/data/101829/000010182917000007/a2016-12x3110xkexhibit1015.htm" TargetMode="External"/><Relationship Id="rId48" Type="http://schemas.openxmlformats.org/officeDocument/2006/relationships/hyperlink" Target="https://www.sec.gov/Archives/edgar/data/101829/000010182917000007/a2016-12x3110xkexhibit1015.htm" TargetMode="External"/><Relationship Id="rId49" Type="http://schemas.openxmlformats.org/officeDocument/2006/relationships/hyperlink" Target="https://www.sec.gov/Archives/edgar/data/101829/000010182916000050/a2015-12x3110xkexhibit1018.htm" TargetMode="External"/><Relationship Id="rId50" Type="http://schemas.openxmlformats.org/officeDocument/2006/relationships/hyperlink" Target="https://www.sec.gov/Archives/edgar/data/101829/000010182916000050/a2015-12x3110xkexhibit1018.htm" TargetMode="External"/><Relationship Id="rId51" Type="http://schemas.openxmlformats.org/officeDocument/2006/relationships/hyperlink" Target="https://www.sec.gov/Archives/edgar/data/101829/000010182916000050/a2015-12x3110xkexhibit1018.htm" TargetMode="External"/><Relationship Id="rId52" Type="http://schemas.openxmlformats.org/officeDocument/2006/relationships/hyperlink" Target="https://www.sec.gov/Archives/edgar/data/101829/000010182917000007/a2016-12x3110xkexhibit1018.htm" TargetMode="External"/><Relationship Id="rId53" Type="http://schemas.openxmlformats.org/officeDocument/2006/relationships/hyperlink" Target="https://www.sec.gov/Archives/edgar/data/101829/000010182917000007/a2016-12x3110xkexhibit1018.htm" TargetMode="External"/><Relationship Id="rId54" Type="http://schemas.openxmlformats.org/officeDocument/2006/relationships/hyperlink" Target="https://www.sec.gov/Archives/edgar/data/101829/000010182917000007/a2016-12x3110xkexhibit1018.htm" TargetMode="External"/><Relationship Id="rId55" Type="http://schemas.openxmlformats.org/officeDocument/2006/relationships/hyperlink" Target="https://www.sec.gov/Archives/edgar/data/101829/000010182921000008/exhibit10182020-12x3110xk.htm" TargetMode="External"/><Relationship Id="rId56" Type="http://schemas.openxmlformats.org/officeDocument/2006/relationships/hyperlink" Target="https://www.sec.gov/Archives/edgar/data/101829/000010182921000008/exhibit10182020-12x3110xk.htm" TargetMode="External"/><Relationship Id="rId57" Type="http://schemas.openxmlformats.org/officeDocument/2006/relationships/hyperlink" Target="https://www.sec.gov/Archives/edgar/data/101829/000010182921000008/exhibit10182020-12x3110xk.htm" TargetMode="External"/><Relationship Id="rId58" Type="http://schemas.openxmlformats.org/officeDocument/2006/relationships/hyperlink" Target="https://www.sec.gov/Archives/edgar/data/101829/000010182921000008/exhibit10202020-12x3110xk.htm" TargetMode="External"/><Relationship Id="rId59" Type="http://schemas.openxmlformats.org/officeDocument/2006/relationships/hyperlink" Target="https://www.sec.gov/Archives/edgar/data/101829/000010182918000027/a2018-06x3010xqexhibit103.htm" TargetMode="External"/><Relationship Id="rId60" Type="http://schemas.openxmlformats.org/officeDocument/2006/relationships/hyperlink" Target="https://www.sec.gov/Archives/edgar/data/101829/000010182918000011/exhibit101utc2018long-term.htm" TargetMode="External"/><Relationship Id="rId61" Type="http://schemas.openxmlformats.org/officeDocument/2006/relationships/hyperlink" Target="https://www.sec.gov/Archives/edgar/data/101829/000010182921000008/exhibit10222020-12x3110xk.htm" TargetMode="External"/><Relationship Id="rId62" Type="http://schemas.openxmlformats.org/officeDocument/2006/relationships/hyperlink" Target="https://www.sec.gov/Archives/edgar/data/101829/000010182921000024/exhibit1062021-03x3110xq.htm" TargetMode="External"/><Relationship Id="rId63" Type="http://schemas.openxmlformats.org/officeDocument/2006/relationships/hyperlink" Target="https://www.sec.gov/Archives/edgar/data/101829/000010182921000024/exhibit1062021-03x3110xq.htm" TargetMode="External"/><Relationship Id="rId64" Type="http://schemas.openxmlformats.org/officeDocument/2006/relationships/hyperlink" Target="https://www.sec.gov/Archives/edgar/data/101829/000010182921000024/exhibit1062021-03x3110xq.htm" TargetMode="External"/><Relationship Id="rId65" Type="http://schemas.openxmlformats.org/officeDocument/2006/relationships/hyperlink" Target="https://www.sec.gov/Archives/edgar/data/101829/000010182921000024/exhibit1072021-03x3110xq.htm" TargetMode="External"/><Relationship Id="rId66" Type="http://schemas.openxmlformats.org/officeDocument/2006/relationships/hyperlink" Target="https://www.sec.gov/Archives/edgar/data/101829/000010182921000024/exhibit1072021-03x3110xq.htm" TargetMode="External"/><Relationship Id="rId67" Type="http://schemas.openxmlformats.org/officeDocument/2006/relationships/hyperlink" Target="https://www.sec.gov/Archives/edgar/data/101829/000010182921000024/exhibit1072021-03x3110xq.htm" TargetMode="External"/><Relationship Id="rId68" Type="http://schemas.openxmlformats.org/officeDocument/2006/relationships/hyperlink" Target="https://www.sec.gov/Archives/edgar/data/1137411/000095013707017412/c21596exv10wfw2.htm" TargetMode="External"/><Relationship Id="rId69" Type="http://schemas.openxmlformats.org/officeDocument/2006/relationships/hyperlink" Target="https://www.sec.gov/Archives/edgar/data/1137411/000095013707017412/c21596exv10wfw2.htm" TargetMode="External"/><Relationship Id="rId70" Type="http://schemas.openxmlformats.org/officeDocument/2006/relationships/hyperlink" Target="https://www.sec.gov/Archives/edgar/data/1137411/000113741118000111/col_exhibitx10f2x9302018.htm" TargetMode="External"/><Relationship Id="rId71" Type="http://schemas.openxmlformats.org/officeDocument/2006/relationships/hyperlink" Target="https://www.sec.gov/Archives/edgar/data/1137411/000113741117000097/col_exhibitx10-fx1x6302017.htm" TargetMode="External"/><Relationship Id="rId72" Type="http://schemas.openxmlformats.org/officeDocument/2006/relationships/hyperlink" Target="https://www.sec.gov/Archives/edgar/data/1137411/000113741118000021/col_exhibitx10-fx1x12312017.htm" TargetMode="External"/><Relationship Id="rId73" Type="http://schemas.openxmlformats.org/officeDocument/2006/relationships/hyperlink" Target="https://www.sec.gov/Archives/edgar/data/1137411/000113741118000111/col_exhibitx10f6x9302018.htm" TargetMode="External"/><Relationship Id="rId74" Type="http://schemas.openxmlformats.org/officeDocument/2006/relationships/hyperlink" Target="https://www.sec.gov/Archives/edgar/data/1137411/000095013707017412/c21596exv10wgw2.htm" TargetMode="External"/><Relationship Id="rId75" Type="http://schemas.openxmlformats.org/officeDocument/2006/relationships/hyperlink" Target="https://www.sec.gov/Archives/edgar/data/1137411/000095013707017412/c21596exv10wgw2.htm" TargetMode="External"/><Relationship Id="rId76" Type="http://schemas.openxmlformats.org/officeDocument/2006/relationships/hyperlink" Target="https://www.sec.gov/Archives/edgar/data/1137411/000113741118000111/col_exhibitx10g2x9302018.htm" TargetMode="External"/><Relationship Id="rId77" Type="http://schemas.openxmlformats.org/officeDocument/2006/relationships/hyperlink" Target="https://www.sec.gov/Archives/edgar/data/1137411/000113741118000111/col_exhibitx10g6x9302018.htm" TargetMode="External"/><Relationship Id="rId78" Type="http://schemas.openxmlformats.org/officeDocument/2006/relationships/hyperlink" Target="https://www.sec.gov/Archives/edgar/data/1137411/000113741118000111/col_exhibitx10g6x9302018.htm" TargetMode="External"/><Relationship Id="rId79" Type="http://schemas.openxmlformats.org/officeDocument/2006/relationships/hyperlink" Target="https://www.sec.gov/Archives/edgar/data/1137411/000113741112000086/col_exhibitx10xhx1x6302012.htm" TargetMode="External"/><Relationship Id="rId80" Type="http://schemas.openxmlformats.org/officeDocument/2006/relationships/hyperlink" Target="https://www.sec.gov/Archives/edgar/data/1137411/000113741116000153/col_exhibitx10-hx1x12312015.htm" TargetMode="External"/><Relationship Id="rId81" Type="http://schemas.openxmlformats.org/officeDocument/2006/relationships/hyperlink" Target="https://www.sec.gov/Archives/edgar/data/1137411/000113741118000111/col_exhibitx10h3x9302018.htm" TargetMode="External"/><Relationship Id="rId82" Type="http://schemas.openxmlformats.org/officeDocument/2006/relationships/hyperlink" Target="https://www.sec.gov/Archives/edgar/data/101829/000010182920000013/a2019-12x3110xkexhibit5.htm" TargetMode="External"/><Relationship Id="rId83" Type="http://schemas.openxmlformats.org/officeDocument/2006/relationships/hyperlink" Target="https://www.sec.gov/Archives/edgar/data/101829/000010182920000013/a2019-12x3110xkexhibit5.htm" TargetMode="External"/><Relationship Id="rId84" Type="http://schemas.openxmlformats.org/officeDocument/2006/relationships/hyperlink" Target="https://www.sec.gov/Archives/edgar/data/101829/000010182920000013/a2019-12x3110xkexhibit5.htm" TargetMode="External"/><Relationship Id="rId85" Type="http://schemas.openxmlformats.org/officeDocument/2006/relationships/hyperlink" Target="https://www.sec.gov/Archives/edgar/data/101829/000010182920000013/a2019-12x3110xkexhibit5.htm" TargetMode="External"/><Relationship Id="rId86" Type="http://schemas.openxmlformats.org/officeDocument/2006/relationships/hyperlink" Target="https://www.sec.gov/Archives/edgar/data/101829/000010182920000013/a2019-12x3110xkexhibit5.htm" TargetMode="External"/><Relationship Id="rId87" Type="http://schemas.openxmlformats.org/officeDocument/2006/relationships/hyperlink" Target="https://www.sec.gov/Archives/edgar/data/101829/000114036120008397/nc10010681x2_ex10-2.htm" TargetMode="External"/><Relationship Id="rId88" Type="http://schemas.openxmlformats.org/officeDocument/2006/relationships/hyperlink" Target="https://www.sec.gov/Archives/edgar/data/101829/000114036120008397/nc10010681x2_ex10-3.htm" TargetMode="External"/><Relationship Id="rId89" Type="http://schemas.openxmlformats.org/officeDocument/2006/relationships/hyperlink" Target="https://www.sec.gov/Archives/edgar/data/101829/000114036120012730/nt10011962x5_ex10-1.htm" TargetMode="External"/><Relationship Id="rId90" Type="http://schemas.openxmlformats.org/officeDocument/2006/relationships/hyperlink" Target="https://www.sec.gov/Archives/edgar/data/101829/000114036120012730/nt10011962x5_ex10-1.htm" TargetMode="External"/><Relationship Id="rId91" Type="http://schemas.openxmlformats.org/officeDocument/2006/relationships/hyperlink" Target="https://www.sec.gov/Archives/edgar/data/101829/000114036120012730/nt10011962x5_ex10-1.htm" TargetMode="External"/><Relationship Id="rId92" Type="http://schemas.openxmlformats.org/officeDocument/2006/relationships/hyperlink" Target="https://www.sec.gov/Archives/edgar/data/1047122/000104712214000013/rtn-12312013xexhibit109.htm" TargetMode="External"/><Relationship Id="rId93" Type="http://schemas.openxmlformats.org/officeDocument/2006/relationships/hyperlink" Target="https://www.sec.gov/Archives/edgar/data/1047122/000104712214000013/rtn-12312013xexhibit1010.htm" TargetMode="External"/><Relationship Id="rId94" Type="http://schemas.openxmlformats.org/officeDocument/2006/relationships/hyperlink" Target="https://www.sec.gov/Archives/edgar/data/1047122/000104712214000013/rtn-12312013xexhibit1011.htm" TargetMode="External"/><Relationship Id="rId95" Type="http://schemas.openxmlformats.org/officeDocument/2006/relationships/hyperlink" Target="https://www.sec.gov/Archives/edgar/data/1047122/000104712214000013/rtn-12312013xexhibit1012.htm" TargetMode="External"/><Relationship Id="rId96" Type="http://schemas.openxmlformats.org/officeDocument/2006/relationships/hyperlink" Target="https://www.sec.gov/Archives/edgar/data/101829/000010182922000018/exhibit1032022-03x3110xq.htm" TargetMode="External"/><Relationship Id="rId97" Type="http://schemas.openxmlformats.org/officeDocument/2006/relationships/hyperlink" Target="https://www.sec.gov/Archives/edgar/data/101829/000010182922000018/exhibit1042022-03x3110xq.htm" TargetMode="External"/><Relationship Id="rId98" Type="http://schemas.openxmlformats.org/officeDocument/2006/relationships/hyperlink" Target="https://www.sec.gov/Archives/edgar/data/101829/000010182923000015/exhibit1012023-03x3110xq.htm" TargetMode="External"/><Relationship Id="rId99" Type="http://schemas.openxmlformats.org/officeDocument/2006/relationships/hyperlink" Target="https://www.sec.gov/Archives/edgar/data/101829/000010182923000015/exhibit1022023-03x3110xq.htm" TargetMode="External"/><Relationship Id="rId100" Type="http://schemas.openxmlformats.org/officeDocument/2006/relationships/hyperlink" Target="https://www.sec.gov/Archives/edgar/data/101829/000010182923000015/exhibit1032023-03x3110xq.htm" TargetMode="External"/><Relationship Id="rId101" Type="http://schemas.openxmlformats.org/officeDocument/2006/relationships/hyperlink" Target="https://www.sec.gov/Archives/edgar/data/101829/000010182923000015/exhibit1042023-03x3110xq.htm" TargetMode="External"/><Relationship Id="rId102" Type="http://schemas.openxmlformats.org/officeDocument/2006/relationships/hyperlink" Target="https://www.sec.gov/Archives/edgar/data/101829/000010182923000037/exhibit1022023-09x3010xq.htm" TargetMode="External"/><Relationship Id="rId103" Type="http://schemas.openxmlformats.org/officeDocument/2006/relationships/hyperlink" Target="https://www.sec.gov/Archives/edgar/data/101829/000010182923000037/exhibit1032023-09x3010xq.htm" TargetMode="External"/><Relationship Id="rId104" Type="http://schemas.openxmlformats.org/officeDocument/2006/relationships/hyperlink" Target="https://www.sec.gov/Archives/edgar/data/101829/000010182923000037/exhibit1042023-09x3010xq.htm" TargetMode="External"/><Relationship Id="rId105" Type="http://schemas.openxmlformats.org/officeDocument/2006/relationships/hyperlink" Target="https://www.sec.gov/Archives/edgar/data/101829/000010182923000037/exhibit1062023-09x3010xq.htm" TargetMode="External"/><Relationship Id="rId106" Type="http://schemas.openxmlformats.org/officeDocument/2006/relationships/hyperlink" Target="https://www.sec.gov/Archives/edgar/data/101829/000114036123049417/ny20012953x1_ex10-1.htm" TargetMode="External"/><Relationship Id="rId107" Type="http://schemas.openxmlformats.org/officeDocument/2006/relationships/hyperlink" Target="https://www.sec.gov/Archives/edgar/data/101829/000114036123049417/ny20012953x1_ex10-2.htm" TargetMode="External"/><Relationship Id="rId108" Type="http://schemas.openxmlformats.org/officeDocument/2006/relationships/hyperlink" Target="https://www.sec.gov/Archives/edgar/data/101829/000114036123052089/ny20013763x2_ex10-1.htm" TargetMode="External"/><Relationship Id="rId109" Type="http://schemas.openxmlformats.org/officeDocument/2006/relationships/hyperlink" Target="https://www.sec.gov/Archives/edgar/data/101829/000010182924000012/exhibit1022024-03x3110xq.htm" TargetMode="External"/><Relationship Id="rId110" Type="http://schemas.openxmlformats.org/officeDocument/2006/relationships/hyperlink" Target="https://www.sec.gov/Archives/edgar/data/101829/000010182924000012/exhibit1032024-03x3110xq.htm" TargetMode="External"/><Relationship Id="rId111" Type="http://schemas.openxmlformats.org/officeDocument/2006/relationships/hyperlink" Target="https://www.sec.gov/Archives/edgar/data/101829/000010182924000012/exhibit1042024-03x3110xq.htm" TargetMode="External"/><Relationship Id="rId112" Type="http://schemas.openxmlformats.org/officeDocument/2006/relationships/hyperlink" Target="https://www.sec.gov/Archives/edgar/data/101829/000010182924000012/exhibit1052024-03x3110xq.htm" TargetMode="External"/><Relationship Id="rId113" Type="http://schemas.openxmlformats.org/officeDocument/2006/relationships/hyperlink" Target="https://www.sec.gov/Archives/edgar/data/101829/000010182924000012/exhibit1062024-03x3110xq.htm" TargetMode="External"/><Relationship Id="rId114" Type="http://schemas.openxmlformats.org/officeDocument/2006/relationships/hyperlink" Target="https://www.sec.gov/Archives/edgar/data/101829/000010182924000012/exhibit1072024-03x3110xq.htm" TargetMode="External"/><Relationship Id="rId115" Type="http://schemas.openxmlformats.org/officeDocument/2006/relationships/hyperlink" Target="https://www.sec.gov/Archives/edgar/data/101829/000010182924000027/exhibit1012024-06x3010xq.htm" TargetMode="External"/><Relationship Id="rId116" Type="http://schemas.openxmlformats.org/officeDocument/2006/relationships/hyperlink" Target="https://www.sec.gov/Archives/edgar/data/101829/000010182925000005/exhibit10702024-12x3110xk.htm" TargetMode="External"/><Relationship Id="rId117" Type="http://schemas.openxmlformats.org/officeDocument/2006/relationships/hyperlink" Target="https://www.sec.gov/Archives/edgar/data/101829/000010182925000015/exhibit1012025-03x3110xq.htm" TargetMode="External"/><Relationship Id="rId118" Type="http://schemas.openxmlformats.org/officeDocument/2006/relationships/hyperlink" Target="https://www.sec.gov/Archives/edgar/data/101829/000010182925000015/exhibit1022025-03x3110xq.htm" TargetMode="External"/><Relationship Id="rId119" Type="http://schemas.openxmlformats.org/officeDocument/2006/relationships/hyperlink" Target="https://www.sec.gov/Archives/edgar/data/101829/000010182925000015/exhibit1032025-03x3110xq.htm" TargetMode="External"/><Relationship Id="rId120" Type="http://schemas.openxmlformats.org/officeDocument/2006/relationships/hyperlink" Target="https://www.sec.gov/Archives/edgar/data/101829/000010182925000015/exhibit1042025-03x3110xq.htm" TargetMode="External"/><Relationship Id="rId121" Type="http://schemas.openxmlformats.org/officeDocument/2006/relationships/hyperlink" Target="https://www.sec.gov/Archives/edgar/data/101829/000010182925000042/exhibit1012025-09x0310xq.htm" TargetMode="External"/><Relationship Id="rId122" Type="http://schemas.openxmlformats.org/officeDocument/2006/relationships/hyperlink" Target="https://www.sec.gov/Archives/edgar/data/101829/000010182925000005/exhibit192024-12x3110xk.htm" TargetMode="External"/><Relationship Id="rId123" Type="http://schemas.openxmlformats.org/officeDocument/2006/relationships/hyperlink" Target="https://www.sec.gov/Archives/edgar/data/101829/000010182925000005/exhibit192024-12x3110xk.htm" TargetMode="External"/><Relationship Id="rId124" Type="http://schemas.openxmlformats.org/officeDocument/2006/relationships/hyperlink" Target="https://www.sec.gov/Archives/edgar/data/101829/000010182925000005/exhibit192024-12x3110xk.htm" TargetMode="External"/><Relationship Id="rId125" Type="http://schemas.openxmlformats.org/officeDocument/2006/relationships/hyperlink" Target="https://www.sec.gov/Archives/edgar/data/101829/000010182925000005/exhibit192024-12x3110xk.htm" TargetMode="External"/><Relationship Id="rId126" Type="http://schemas.openxmlformats.org/officeDocument/2006/relationships/hyperlink" Target="https://www.sec.gov/Archives/edgar/data/101829/000010182925000005/exhibit192024-12x3110xk.htm" TargetMode="External"/><Relationship Id="rId127" Type="http://schemas.openxmlformats.org/officeDocument/2006/relationships/hyperlink" Target="https://www.sec.gov/Archives/edgar/data/101829/000010182925000005/exhibit192024-12x3110xk.htm" TargetMode="External"/><Relationship Id="rId128" Type="http://schemas.openxmlformats.org/officeDocument/2006/relationships/hyperlink" Target="https://www.sec.gov/Archives/edgar/data/101829/000010182925000005/exhibit192024-12x3110xk.htm" TargetMode="External"/><Relationship Id="rId129" Type="http://schemas.openxmlformats.org/officeDocument/2006/relationships/hyperlink" Target="https://www.sec.gov/Archives/edgar/data/101829/000010182924000008/exhibit972023-12x3110xk.htm" TargetMode="External"/><Relationship Id="rId130" Type="http://schemas.openxmlformats.org/officeDocument/2006/relationships/hyperlink" Target="https://www.sec.gov/Archives/edgar/data/0000101829/000010182924000031/a2024-08x30exhibit991.htm" TargetMode="External"/><Relationship Id="rId131" Type="http://schemas.openxmlformats.org/officeDocument/2006/relationships/hyperlink" Target="https://www.sec.gov/Archives/edgar/data/0000101829/000010182924000033/a2024-10x15exhibit991.htm" TargetMode="External"/><Relationship Id="rId132" Type="http://schemas.openxmlformats.org/officeDocument/2006/relationships/hyperlink" Target="https://www.sec.gov/Archives/edgar/data/0000101829/000010182924000033/a2024-10x15exhibit992.htm" TargetMode="External"/><Relationship Id="rId133" Type="http://schemas.openxmlformats.org/officeDocument/2006/relationships/hyperlink" Target="https://www.sec.gov/Archives/edgar/data/0000101829/000010182924000033/a2024-10x15exhibit993.htm" TargetMode="External"/><Relationship Id="rId134" Type="http://schemas.openxmlformats.org/officeDocument/2006/relationships/hyperlink" Target="https://www.sec.gov/Archives/edgar/data/0000101829/000010182924000033/a2024-10x15exhibit994.htm" TargetMode="Externa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86057</Words>
  <Characters>487080</Characters>
  <CharactersWithSpaces>569257</CharactersWithSpaces>
  <Paragraphs>6608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